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B1859E" w14:textId="77777777" w:rsidR="00EE09AD" w:rsidRPr="00536624" w:rsidRDefault="00EE09AD" w:rsidP="00351D5B">
      <w:pPr>
        <w:pStyle w:val="NoSpacing1"/>
        <w:spacing w:after="240"/>
        <w:ind w:right="-1" w:firstLine="0"/>
        <w:jc w:val="center"/>
        <w:rPr>
          <w:rFonts w:cs="Calibri"/>
        </w:rPr>
      </w:pPr>
    </w:p>
    <w:p w14:paraId="145FE607" w14:textId="77777777" w:rsidR="00EE09AD" w:rsidRPr="00536624" w:rsidRDefault="00EE09AD" w:rsidP="00351D5B">
      <w:pPr>
        <w:pStyle w:val="NoSpacing1"/>
        <w:spacing w:after="1440"/>
        <w:ind w:right="-1" w:firstLine="0"/>
        <w:jc w:val="center"/>
        <w:rPr>
          <w:rFonts w:cs="Calibri"/>
        </w:rPr>
      </w:pPr>
      <w:r w:rsidRPr="00536624">
        <w:rPr>
          <w:rFonts w:cs="Calibri"/>
          <w:noProof/>
          <w:lang w:val="en-GB" w:eastAsia="en-GB"/>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536624">
        <w:rPr>
          <w:rFonts w:cs="Calibri"/>
          <w:noProof/>
          <w:lang w:val="en-GB" w:eastAsia="en-GB"/>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0F3F268B"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536624">
        <w:rPr>
          <w:rFonts w:cs="Calibri"/>
          <w:noProof/>
          <w:lang w:val="en-GB" w:eastAsia="en-GB"/>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65904F0B"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536624">
        <w:rPr>
          <w:rFonts w:cs="Calibri"/>
          <w:noProof/>
          <w:lang w:val="en-GB" w:eastAsia="en-GB"/>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2AD9BECF"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536624">
        <w:rPr>
          <w:rFonts w:cs="Calibri"/>
          <w:noProof/>
          <w:lang w:val="en-GB" w:eastAsia="en-GB"/>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23A6F054"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E08561D" w14:textId="77777777" w:rsidR="00EE09AD" w:rsidRPr="00536624" w:rsidRDefault="00EE09AD" w:rsidP="00351D5B">
      <w:pPr>
        <w:pStyle w:val="NoSpacing1"/>
        <w:spacing w:after="1200"/>
        <w:ind w:right="-1" w:firstLine="0"/>
        <w:jc w:val="center"/>
        <w:rPr>
          <w:rFonts w:ascii="Times New Roman" w:hAnsi="Times New Roman"/>
          <w:smallCaps/>
          <w:sz w:val="56"/>
          <w:szCs w:val="56"/>
        </w:rPr>
      </w:pPr>
      <w:r w:rsidRPr="00536624">
        <w:rPr>
          <w:rFonts w:ascii="Times New Roman" w:hAnsi="Times New Roman"/>
          <w:smallCaps/>
          <w:sz w:val="56"/>
          <w:szCs w:val="56"/>
        </w:rPr>
        <w:t>Europos Žmogaus Teisių Teismo praktikos apžvalga</w:t>
      </w:r>
    </w:p>
    <w:p w14:paraId="60DC5985" w14:textId="61035C04" w:rsidR="00EE09AD" w:rsidRPr="00536624" w:rsidRDefault="002F43A7" w:rsidP="00351D5B">
      <w:pPr>
        <w:pStyle w:val="NoSpacing1"/>
        <w:spacing w:after="5160"/>
        <w:ind w:right="-1" w:firstLine="0"/>
        <w:jc w:val="center"/>
        <w:rPr>
          <w:rFonts w:cs="Calibri"/>
          <w:b/>
          <w:smallCaps/>
          <w:u w:val="single"/>
        </w:rPr>
      </w:pPr>
      <w:r w:rsidRPr="00536624">
        <w:rPr>
          <w:rFonts w:cs="Calibri"/>
          <w:b/>
          <w:smallCaps/>
          <w:u w:val="single"/>
        </w:rPr>
        <w:t>2020</w:t>
      </w:r>
      <w:r w:rsidR="00EE09AD" w:rsidRPr="00536624">
        <w:rPr>
          <w:rFonts w:cs="Calibri"/>
          <w:b/>
          <w:smallCaps/>
          <w:u w:val="single"/>
        </w:rPr>
        <w:t xml:space="preserve"> m. </w:t>
      </w:r>
      <w:r w:rsidRPr="00536624">
        <w:rPr>
          <w:rFonts w:cs="Calibri"/>
          <w:b/>
          <w:smallCaps/>
          <w:u w:val="single"/>
        </w:rPr>
        <w:t>sausio 1 d. – 2020</w:t>
      </w:r>
      <w:r w:rsidR="00EE09AD" w:rsidRPr="00536624">
        <w:rPr>
          <w:rFonts w:cs="Calibri"/>
          <w:b/>
          <w:smallCaps/>
          <w:u w:val="single"/>
        </w:rPr>
        <w:t xml:space="preserve"> m. </w:t>
      </w:r>
      <w:r w:rsidR="0037620F" w:rsidRPr="00536624">
        <w:rPr>
          <w:rFonts w:cs="Calibri"/>
          <w:b/>
          <w:smallCaps/>
          <w:u w:val="single"/>
        </w:rPr>
        <w:t>birželio</w:t>
      </w:r>
      <w:r w:rsidR="00EE09AD" w:rsidRPr="00536624">
        <w:rPr>
          <w:rFonts w:cs="Calibri"/>
          <w:b/>
          <w:smallCaps/>
          <w:u w:val="single"/>
        </w:rPr>
        <w:t xml:space="preserve"> 3</w:t>
      </w:r>
      <w:r w:rsidR="0037620F" w:rsidRPr="00536624">
        <w:rPr>
          <w:rFonts w:cs="Calibri"/>
          <w:b/>
          <w:smallCaps/>
          <w:u w:val="single"/>
        </w:rPr>
        <w:t>0</w:t>
      </w:r>
      <w:r w:rsidR="00EE09AD" w:rsidRPr="00536624">
        <w:rPr>
          <w:rFonts w:cs="Calibri"/>
          <w:b/>
          <w:smallCaps/>
          <w:u w:val="single"/>
        </w:rPr>
        <w:t xml:space="preserve"> d.</w:t>
      </w:r>
    </w:p>
    <w:p w14:paraId="00632BFF" w14:textId="77777777" w:rsidR="00EE09AD" w:rsidRPr="00536624" w:rsidRDefault="00EE09AD" w:rsidP="00351D5B">
      <w:pPr>
        <w:spacing w:after="160" w:line="259" w:lineRule="auto"/>
        <w:ind w:right="-1"/>
        <w:rPr>
          <w:rFonts w:ascii="Calibri" w:hAnsi="Calibri" w:cs="Calibri"/>
          <w:b/>
        </w:rPr>
      </w:pPr>
      <w:r w:rsidRPr="00536624">
        <w:rPr>
          <w:rFonts w:ascii="Calibri" w:hAnsi="Calibri" w:cs="Calibri"/>
          <w:b/>
        </w:rPr>
        <w:br w:type="page"/>
      </w:r>
    </w:p>
    <w:p w14:paraId="779B7F98" w14:textId="1ECCC80B" w:rsidR="00EE09AD" w:rsidRPr="00536624" w:rsidRDefault="00EE09AD" w:rsidP="00351D5B">
      <w:pPr>
        <w:ind w:right="-1" w:firstLine="540"/>
        <w:jc w:val="both"/>
        <w:rPr>
          <w:rFonts w:ascii="Calibri" w:hAnsi="Calibri" w:cs="Calibri"/>
        </w:rPr>
      </w:pPr>
      <w:r w:rsidRPr="00536624">
        <w:rPr>
          <w:rFonts w:ascii="Calibri" w:hAnsi="Calibri" w:cs="Calibri"/>
          <w:b/>
        </w:rPr>
        <w:lastRenderedPageBreak/>
        <w:t>Svarbi pastaba</w:t>
      </w:r>
      <w:r w:rsidRPr="00536624">
        <w:rPr>
          <w:rFonts w:ascii="Calibri" w:hAnsi="Calibri" w:cs="Calibri"/>
        </w:rPr>
        <w:t xml:space="preserve">: </w:t>
      </w:r>
      <w:r w:rsidR="00FC2556">
        <w:rPr>
          <w:rFonts w:ascii="Calibri" w:hAnsi="Calibri" w:cs="Calibri"/>
        </w:rPr>
        <w:t>p</w:t>
      </w:r>
      <w:r w:rsidRPr="00536624">
        <w:rPr>
          <w:rFonts w:ascii="Calibri" w:hAnsi="Calibri" w:cs="Calibri"/>
        </w:rPr>
        <w:t xml:space="preserve">rieš supažindindami su Lietuvos vyriausiojo administracinio teismo Teismų praktikos departamento parengta Europos Žmogaus Teisių Teismo </w:t>
      </w:r>
      <w:r w:rsidRPr="00536624">
        <w:rPr>
          <w:rFonts w:ascii="Calibri" w:hAnsi="Calibri" w:cs="Calibri"/>
          <w:bCs/>
        </w:rPr>
        <w:t>praktikos apžvalga</w:t>
      </w:r>
      <w:r w:rsidRPr="00536624">
        <w:rPr>
          <w:rFonts w:ascii="Calibri" w:hAnsi="Calibri" w:cs="Calibr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536624" w:rsidRDefault="00EE09AD" w:rsidP="00351D5B">
      <w:pPr>
        <w:ind w:right="-1" w:firstLine="540"/>
        <w:jc w:val="both"/>
        <w:rPr>
          <w:rFonts w:ascii="Calibri" w:hAnsi="Calibri" w:cs="Calibri"/>
        </w:rPr>
      </w:pPr>
      <w:r w:rsidRPr="00536624">
        <w:rPr>
          <w:rFonts w:ascii="Calibri" w:hAnsi="Calibri" w:cs="Calibri"/>
        </w:rPr>
        <w:t xml:space="preserve">Atsižvelgiant į tai, kad oficialius ir nesutrumpintus sprendimų tekstus galite rasti Europos Žmogaus Teisių Teismo interneto svetainėje </w:t>
      </w:r>
      <w:hyperlink r:id="rId9" w:history="1">
        <w:r w:rsidRPr="00536624">
          <w:rPr>
            <w:rStyle w:val="Hipersaitas"/>
            <w:rFonts w:ascii="Calibri" w:hAnsi="Calibri" w:cs="Calibri"/>
          </w:rPr>
          <w:t>www.echr.coe.int</w:t>
        </w:r>
      </w:hyperlink>
      <w:r w:rsidRPr="00536624">
        <w:rPr>
          <w:rFonts w:ascii="Calibri" w:hAnsi="Calibri" w:cs="Calibri"/>
        </w:rPr>
        <w:t xml:space="preserve">, Lietuvos vyriausiasis administracinis teismas neprisiima atsakomybės už atliktą vertimą ir parengtos santraukos išsamumą. </w:t>
      </w:r>
    </w:p>
    <w:p w14:paraId="3BE223FE" w14:textId="77777777" w:rsidR="00EE09AD" w:rsidRPr="00536624" w:rsidRDefault="00EE09AD" w:rsidP="00351D5B">
      <w:pPr>
        <w:ind w:right="-1" w:firstLine="540"/>
        <w:jc w:val="both"/>
        <w:rPr>
          <w:rFonts w:ascii="Calibri" w:hAnsi="Calibri" w:cs="Calibri"/>
        </w:rPr>
      </w:pPr>
    </w:p>
    <w:p w14:paraId="6D8B8E74" w14:textId="77777777" w:rsidR="00EE09AD" w:rsidRPr="00536624" w:rsidRDefault="00EE09AD" w:rsidP="00351D5B">
      <w:pPr>
        <w:ind w:right="-1" w:firstLine="540"/>
        <w:jc w:val="both"/>
        <w:rPr>
          <w:rFonts w:ascii="Calibri" w:hAnsi="Calibri" w:cs="Calibri"/>
        </w:rPr>
      </w:pPr>
      <w:r w:rsidRPr="00536624">
        <w:rPr>
          <w:rFonts w:ascii="Calibri" w:hAnsi="Calibri" w:cs="Calibri"/>
        </w:rPr>
        <w:t>Apžvalgoje naudojami pagrindiniai sutrumpinimai:</w:t>
      </w:r>
    </w:p>
    <w:p w14:paraId="1DE4E769" w14:textId="77777777" w:rsidR="00EE09AD" w:rsidRPr="00536624" w:rsidRDefault="00EE09AD" w:rsidP="00351D5B">
      <w:pPr>
        <w:ind w:right="-1" w:firstLine="540"/>
        <w:jc w:val="both"/>
        <w:rPr>
          <w:rFonts w:ascii="Calibri" w:hAnsi="Calibri" w:cs="Calibri"/>
        </w:rPr>
      </w:pPr>
      <w:r w:rsidRPr="00536624">
        <w:rPr>
          <w:rFonts w:ascii="Calibri" w:hAnsi="Calibri" w:cs="Calibri"/>
          <w:b/>
        </w:rPr>
        <w:t>EŽTT, Teismas</w:t>
      </w:r>
      <w:r w:rsidRPr="00536624">
        <w:rPr>
          <w:rFonts w:ascii="Calibri" w:hAnsi="Calibri" w:cs="Calibri"/>
        </w:rPr>
        <w:t xml:space="preserve"> – Europos Žmogaus Teisių Teismas</w:t>
      </w:r>
    </w:p>
    <w:p w14:paraId="718E76F1" w14:textId="77777777" w:rsidR="00EE09AD" w:rsidRPr="00536624" w:rsidRDefault="00EE09AD" w:rsidP="00351D5B">
      <w:pPr>
        <w:ind w:right="-1" w:firstLine="540"/>
        <w:jc w:val="both"/>
        <w:rPr>
          <w:rFonts w:ascii="Calibri" w:hAnsi="Calibri" w:cs="Calibri"/>
        </w:rPr>
      </w:pPr>
      <w:r w:rsidRPr="00536624">
        <w:rPr>
          <w:rFonts w:ascii="Calibri" w:hAnsi="Calibri" w:cs="Calibri"/>
          <w:b/>
        </w:rPr>
        <w:t>Konvencija</w:t>
      </w:r>
      <w:r w:rsidRPr="00536624">
        <w:rPr>
          <w:rFonts w:ascii="Calibri" w:hAnsi="Calibri" w:cs="Calibri"/>
        </w:rPr>
        <w:t xml:space="preserve"> – Žmogaus teisių ir pagrindinių laisvių apsaugos konvencija</w:t>
      </w:r>
    </w:p>
    <w:p w14:paraId="0175E68D" w14:textId="77777777" w:rsidR="00EE09AD" w:rsidRPr="00536624" w:rsidRDefault="00EE09AD" w:rsidP="00351D5B">
      <w:pPr>
        <w:ind w:left="539" w:right="-1" w:firstLine="1"/>
        <w:jc w:val="both"/>
        <w:rPr>
          <w:rFonts w:ascii="Calibri" w:hAnsi="Calibri" w:cs="Calibri"/>
        </w:rPr>
      </w:pPr>
      <w:r w:rsidRPr="00536624">
        <w:rPr>
          <w:rFonts w:ascii="Calibri" w:hAnsi="Calibri" w:cs="Calibri"/>
          <w:b/>
        </w:rPr>
        <w:t>Svarbos lygiai</w:t>
      </w:r>
      <w:r w:rsidRPr="00536624">
        <w:rPr>
          <w:rFonts w:ascii="Calibri" w:hAnsi="Calibri" w:cs="Calibri"/>
        </w:rPr>
        <w:t xml:space="preserve"> – Europos Žmogaus Teisių Teismo nagrinėjamos bylos yra skirstomos į keturias kategorijas:</w:t>
      </w:r>
    </w:p>
    <w:p w14:paraId="231A7163" w14:textId="6998A754" w:rsidR="00EE09AD" w:rsidRPr="00536624" w:rsidRDefault="00EE09AD" w:rsidP="00351D5B">
      <w:pPr>
        <w:tabs>
          <w:tab w:val="left" w:pos="567"/>
        </w:tabs>
        <w:spacing w:after="0"/>
        <w:ind w:left="539" w:right="-1"/>
        <w:jc w:val="both"/>
        <w:rPr>
          <w:rFonts w:ascii="Calibri" w:hAnsi="Calibri" w:cs="Calibri"/>
        </w:rPr>
      </w:pPr>
      <w:r w:rsidRPr="00536624">
        <w:rPr>
          <w:rFonts w:ascii="Calibri" w:hAnsi="Calibri" w:cs="Calibri"/>
          <w:i/>
        </w:rPr>
        <w:t>Skelbta Rinkinyje</w:t>
      </w:r>
      <w:r w:rsidRPr="00536624">
        <w:rPr>
          <w:rFonts w:ascii="Calibri" w:hAnsi="Calibri" w:cs="Calibri"/>
        </w:rPr>
        <w:t xml:space="preserve"> – ypatingos svarbos sprendimai, kurie skelbiami oficialiuosiuose Teismo praktikos rinkiniuose (</w:t>
      </w:r>
      <w:proofErr w:type="spellStart"/>
      <w:r w:rsidRPr="00536624">
        <w:rPr>
          <w:rFonts w:ascii="Calibri" w:hAnsi="Calibri" w:cs="Calibri"/>
          <w:i/>
        </w:rPr>
        <w:t>Reports</w:t>
      </w:r>
      <w:proofErr w:type="spellEnd"/>
      <w:r w:rsidRPr="00536624">
        <w:rPr>
          <w:rFonts w:ascii="Calibri" w:hAnsi="Calibri" w:cs="Calibri"/>
          <w:i/>
        </w:rPr>
        <w:t xml:space="preserve"> </w:t>
      </w:r>
      <w:proofErr w:type="spellStart"/>
      <w:r w:rsidRPr="00536624">
        <w:rPr>
          <w:rFonts w:ascii="Calibri" w:hAnsi="Calibri" w:cs="Calibri"/>
          <w:i/>
        </w:rPr>
        <w:t>of</w:t>
      </w:r>
      <w:proofErr w:type="spellEnd"/>
      <w:r w:rsidRPr="00536624">
        <w:rPr>
          <w:rFonts w:ascii="Calibri" w:hAnsi="Calibri" w:cs="Calibri"/>
          <w:i/>
        </w:rPr>
        <w:t xml:space="preserve"> </w:t>
      </w:r>
      <w:proofErr w:type="spellStart"/>
      <w:r w:rsidRPr="00536624">
        <w:rPr>
          <w:rFonts w:ascii="Calibri" w:hAnsi="Calibri" w:cs="Calibri"/>
          <w:i/>
        </w:rPr>
        <w:t>Judgments</w:t>
      </w:r>
      <w:proofErr w:type="spellEnd"/>
      <w:r w:rsidRPr="00536624">
        <w:rPr>
          <w:rFonts w:ascii="Calibri" w:hAnsi="Calibri" w:cs="Calibri"/>
          <w:i/>
        </w:rPr>
        <w:t xml:space="preserve"> </w:t>
      </w:r>
      <w:proofErr w:type="spellStart"/>
      <w:r w:rsidRPr="00536624">
        <w:rPr>
          <w:rFonts w:ascii="Calibri" w:hAnsi="Calibri" w:cs="Calibri"/>
          <w:i/>
        </w:rPr>
        <w:t>and</w:t>
      </w:r>
      <w:proofErr w:type="spellEnd"/>
      <w:r w:rsidRPr="00536624">
        <w:rPr>
          <w:rFonts w:ascii="Calibri" w:hAnsi="Calibri" w:cs="Calibri"/>
          <w:i/>
        </w:rPr>
        <w:t xml:space="preserve"> </w:t>
      </w:r>
      <w:proofErr w:type="spellStart"/>
      <w:r w:rsidRPr="00536624">
        <w:rPr>
          <w:rFonts w:ascii="Calibri" w:hAnsi="Calibri" w:cs="Calibri"/>
          <w:i/>
        </w:rPr>
        <w:t>Decisions</w:t>
      </w:r>
      <w:proofErr w:type="spellEnd"/>
      <w:r w:rsidR="006860B3" w:rsidRPr="00536624">
        <w:rPr>
          <w:rFonts w:ascii="Calibri" w:hAnsi="Calibri" w:cs="Calibri"/>
        </w:rPr>
        <w:t>,</w:t>
      </w:r>
      <w:r w:rsidR="006860B3" w:rsidRPr="00536624">
        <w:rPr>
          <w:rFonts w:ascii="Calibri" w:hAnsi="Calibri" w:cs="Calibri"/>
          <w:i/>
        </w:rPr>
        <w:t xml:space="preserve"> </w:t>
      </w:r>
      <w:proofErr w:type="spellStart"/>
      <w:r w:rsidR="006860B3" w:rsidRPr="00536624">
        <w:rPr>
          <w:rFonts w:ascii="Calibri" w:hAnsi="Calibri" w:cs="Calibri"/>
          <w:i/>
        </w:rPr>
        <w:t>Selection</w:t>
      </w:r>
      <w:proofErr w:type="spellEnd"/>
      <w:r w:rsidR="006860B3" w:rsidRPr="00536624">
        <w:rPr>
          <w:rFonts w:ascii="Calibri" w:hAnsi="Calibri" w:cs="Calibri"/>
          <w:i/>
        </w:rPr>
        <w:t xml:space="preserve"> </w:t>
      </w:r>
      <w:proofErr w:type="spellStart"/>
      <w:r w:rsidR="006860B3" w:rsidRPr="00536624">
        <w:rPr>
          <w:rFonts w:ascii="Calibri" w:hAnsi="Calibri" w:cs="Calibri"/>
          <w:i/>
        </w:rPr>
        <w:t>of</w:t>
      </w:r>
      <w:proofErr w:type="spellEnd"/>
      <w:r w:rsidR="006860B3" w:rsidRPr="00536624">
        <w:rPr>
          <w:rFonts w:ascii="Calibri" w:hAnsi="Calibri" w:cs="Calibri"/>
          <w:i/>
        </w:rPr>
        <w:t xml:space="preserve"> </w:t>
      </w:r>
      <w:proofErr w:type="spellStart"/>
      <w:r w:rsidR="006860B3" w:rsidRPr="00536624">
        <w:rPr>
          <w:rFonts w:ascii="Calibri" w:hAnsi="Calibri" w:cs="Calibri"/>
          <w:i/>
        </w:rPr>
        <w:t>key</w:t>
      </w:r>
      <w:proofErr w:type="spellEnd"/>
      <w:r w:rsidR="006860B3" w:rsidRPr="00536624">
        <w:rPr>
          <w:rFonts w:ascii="Calibri" w:hAnsi="Calibri" w:cs="Calibri"/>
          <w:i/>
        </w:rPr>
        <w:t xml:space="preserve"> </w:t>
      </w:r>
      <w:proofErr w:type="spellStart"/>
      <w:r w:rsidR="006860B3" w:rsidRPr="00536624">
        <w:rPr>
          <w:rFonts w:ascii="Calibri" w:hAnsi="Calibri" w:cs="Calibri"/>
          <w:i/>
        </w:rPr>
        <w:t>cases</w:t>
      </w:r>
      <w:proofErr w:type="spellEnd"/>
      <w:r w:rsidRPr="00536624">
        <w:rPr>
          <w:rFonts w:ascii="Calibri" w:hAnsi="Calibri" w:cs="Calibri"/>
        </w:rPr>
        <w:t>).</w:t>
      </w:r>
    </w:p>
    <w:p w14:paraId="487CA55A" w14:textId="77777777" w:rsidR="00EE09AD" w:rsidRPr="00536624" w:rsidRDefault="00EE09AD" w:rsidP="00351D5B">
      <w:pPr>
        <w:spacing w:after="0"/>
        <w:ind w:left="539" w:right="-1"/>
        <w:jc w:val="both"/>
        <w:rPr>
          <w:rFonts w:ascii="Calibri" w:hAnsi="Calibri" w:cs="Calibri"/>
        </w:rPr>
      </w:pPr>
      <w:r w:rsidRPr="00536624">
        <w:rPr>
          <w:rFonts w:ascii="Calibri" w:hAnsi="Calibri" w:cs="Calibri"/>
          <w:i/>
        </w:rPr>
        <w:t>1 = Didelė svarba</w:t>
      </w:r>
      <w:r w:rsidRPr="00536624">
        <w:rPr>
          <w:rFonts w:ascii="Calibri" w:hAnsi="Calibri" w:cs="Calibri"/>
        </w:rPr>
        <w:t>: sprendimai, kurie reikšmingai prisideda prie Teismo praktikos plėtojimo, aiškinimo ar keitimo.</w:t>
      </w:r>
    </w:p>
    <w:p w14:paraId="70E0507C" w14:textId="77777777" w:rsidR="00EE09AD" w:rsidRPr="00536624" w:rsidRDefault="00EE09AD" w:rsidP="00351D5B">
      <w:pPr>
        <w:spacing w:after="0"/>
        <w:ind w:left="539" w:right="-1"/>
        <w:jc w:val="both"/>
        <w:rPr>
          <w:rFonts w:ascii="Calibri" w:hAnsi="Calibri" w:cs="Calibri"/>
        </w:rPr>
      </w:pPr>
      <w:r w:rsidRPr="00536624">
        <w:rPr>
          <w:rFonts w:ascii="Calibri" w:hAnsi="Calibri" w:cs="Calibri"/>
          <w:i/>
        </w:rPr>
        <w:t>2 = Vidutinė svarba</w:t>
      </w:r>
      <w:r w:rsidRPr="00536624">
        <w:rPr>
          <w:rFonts w:ascii="Calibri" w:hAnsi="Calibri" w:cs="Calibri"/>
        </w:rPr>
        <w:t>: sprendimai, kurie nors ir reikšmingai praktikos nepakeičia, tačiau nėra susiję vien tik su nusistovėjusios praktikos laikymusi.</w:t>
      </w:r>
    </w:p>
    <w:p w14:paraId="687CA506" w14:textId="77777777" w:rsidR="00EE09AD" w:rsidRPr="00536624" w:rsidRDefault="00EE09AD" w:rsidP="00351D5B">
      <w:pPr>
        <w:spacing w:after="0"/>
        <w:ind w:left="539" w:right="-1"/>
        <w:jc w:val="both"/>
        <w:rPr>
          <w:rFonts w:ascii="Calibri" w:hAnsi="Calibri" w:cs="Calibri"/>
        </w:rPr>
      </w:pPr>
      <w:r w:rsidRPr="00536624">
        <w:rPr>
          <w:rFonts w:ascii="Calibri" w:hAnsi="Calibri" w:cs="Calibri"/>
          <w:i/>
        </w:rPr>
        <w:t>3 = Mažesnė svarba</w:t>
      </w:r>
      <w:r w:rsidRPr="00536624">
        <w:rPr>
          <w:rFonts w:ascii="Calibri" w:hAnsi="Calibri" w:cs="Calibri"/>
        </w:rPr>
        <w:t>: sprendimai, pasižymintys mažu teisiniu interesu, t. y. sprendimai, kuriuose paprasčiausiai laikomasi nusistovėjusios teismo praktikos ir kt.</w:t>
      </w:r>
    </w:p>
    <w:p w14:paraId="10D3BA50" w14:textId="77777777" w:rsidR="00EE09AD" w:rsidRPr="00536624" w:rsidRDefault="00EE09AD" w:rsidP="00351D5B">
      <w:pPr>
        <w:spacing w:after="0" w:line="240" w:lineRule="auto"/>
        <w:ind w:right="-1"/>
        <w:jc w:val="both"/>
        <w:rPr>
          <w:rFonts w:ascii="Calibri" w:hAnsi="Calibri" w:cs="Calibri"/>
          <w:b/>
        </w:rPr>
      </w:pPr>
      <w:r w:rsidRPr="00536624">
        <w:rPr>
          <w:rFonts w:ascii="Calibri" w:hAnsi="Calibri" w:cs="Calibri"/>
          <w:b/>
        </w:rPr>
        <w:br w:type="page"/>
      </w:r>
    </w:p>
    <w:sdt>
      <w:sdtPr>
        <w:rPr>
          <w:rFonts w:ascii="Calibri" w:eastAsiaTheme="minorHAnsi" w:hAnsi="Calibri" w:cs="Calibri"/>
          <w:bCs w:val="0"/>
          <w:color w:val="auto"/>
          <w:sz w:val="22"/>
          <w:szCs w:val="22"/>
          <w:lang w:eastAsia="en-US"/>
        </w:rPr>
        <w:id w:val="654178032"/>
        <w:docPartObj>
          <w:docPartGallery w:val="Table of Contents"/>
          <w:docPartUnique/>
        </w:docPartObj>
      </w:sdtPr>
      <w:sdtEndPr>
        <w:rPr>
          <w:b/>
        </w:rPr>
      </w:sdtEndPr>
      <w:sdtContent>
        <w:p w14:paraId="259F4E74" w14:textId="77777777" w:rsidR="00EE09AD" w:rsidRPr="00536624" w:rsidRDefault="00EE09AD" w:rsidP="00351D5B">
          <w:pPr>
            <w:pStyle w:val="Turinioantrat"/>
            <w:ind w:right="-1"/>
            <w:rPr>
              <w:rFonts w:ascii="Calibri" w:hAnsi="Calibri" w:cs="Calibri"/>
              <w:sz w:val="22"/>
              <w:szCs w:val="22"/>
            </w:rPr>
          </w:pPr>
        </w:p>
        <w:p w14:paraId="71AA9E48" w14:textId="41F47D78" w:rsidR="00C743DF" w:rsidRDefault="00EE09AD">
          <w:pPr>
            <w:pStyle w:val="Turinys1"/>
            <w:rPr>
              <w:rFonts w:eastAsiaTheme="minorEastAsia"/>
              <w:color w:val="auto"/>
              <w:lang w:eastAsia="lt-LT"/>
            </w:rPr>
          </w:pPr>
          <w:r w:rsidRPr="00536624">
            <w:rPr>
              <w:rFonts w:ascii="Calibri" w:hAnsi="Calibri" w:cs="Calibri"/>
              <w:noProof w:val="0"/>
            </w:rPr>
            <w:fldChar w:fldCharType="begin"/>
          </w:r>
          <w:r w:rsidRPr="00536624">
            <w:rPr>
              <w:rFonts w:ascii="Calibri" w:hAnsi="Calibri" w:cs="Calibri"/>
              <w:noProof w:val="0"/>
            </w:rPr>
            <w:instrText xml:space="preserve"> TOC \o "1-3" \h \z \u </w:instrText>
          </w:r>
          <w:r w:rsidRPr="00536624">
            <w:rPr>
              <w:rFonts w:ascii="Calibri" w:hAnsi="Calibri" w:cs="Calibri"/>
              <w:noProof w:val="0"/>
            </w:rPr>
            <w:fldChar w:fldCharType="separate"/>
          </w:r>
          <w:hyperlink w:anchor="_Toc52184415" w:history="1">
            <w:r w:rsidR="00C743DF" w:rsidRPr="00EC0027">
              <w:rPr>
                <w:rStyle w:val="Hipersaitas"/>
                <w:rFonts w:ascii="Calibri" w:eastAsia="Times New Roman" w:hAnsi="Calibri" w:cs="Calibri"/>
              </w:rPr>
              <w:t>TEISĖ Į GYVYBĘ (2 straipsnis)</w:t>
            </w:r>
            <w:r w:rsidR="00C743DF" w:rsidRPr="00EC0027">
              <w:rPr>
                <w:rStyle w:val="Hipersaitas"/>
                <w:rFonts w:eastAsia="Times New Roman" w:cstheme="minorHAnsi"/>
              </w:rPr>
              <w:t xml:space="preserve"> </w:t>
            </w:r>
            <w:r w:rsidR="00C743DF" w:rsidRPr="00EC0027">
              <w:rPr>
                <w:rStyle w:val="Hipersaitas"/>
                <w:rFonts w:ascii="Calibri" w:eastAsia="Times New Roman" w:hAnsi="Calibri" w:cs="Calibri"/>
              </w:rPr>
              <w:t xml:space="preserve">IR </w:t>
            </w:r>
            <w:r w:rsidR="00C743DF" w:rsidRPr="00EC0027">
              <w:rPr>
                <w:rStyle w:val="Hipersaitas"/>
                <w:rFonts w:eastAsia="Times New Roman" w:cstheme="minorHAnsi"/>
              </w:rPr>
              <w:t>KANKINIMO UŽDRAUDIMAS( 3 straipsnis)</w:t>
            </w:r>
            <w:r w:rsidR="00C743DF">
              <w:rPr>
                <w:webHidden/>
              </w:rPr>
              <w:tab/>
            </w:r>
            <w:r w:rsidR="00C743DF">
              <w:rPr>
                <w:webHidden/>
              </w:rPr>
              <w:fldChar w:fldCharType="begin"/>
            </w:r>
            <w:r w:rsidR="00C743DF">
              <w:rPr>
                <w:webHidden/>
              </w:rPr>
              <w:instrText xml:space="preserve"> PAGEREF _Toc52184415 \h </w:instrText>
            </w:r>
            <w:r w:rsidR="00C743DF">
              <w:rPr>
                <w:webHidden/>
              </w:rPr>
            </w:r>
            <w:r w:rsidR="00C743DF">
              <w:rPr>
                <w:webHidden/>
              </w:rPr>
              <w:fldChar w:fldCharType="separate"/>
            </w:r>
            <w:r w:rsidR="00C743DF">
              <w:rPr>
                <w:webHidden/>
              </w:rPr>
              <w:t>5</w:t>
            </w:r>
            <w:r w:rsidR="00C743DF">
              <w:rPr>
                <w:webHidden/>
              </w:rPr>
              <w:fldChar w:fldCharType="end"/>
            </w:r>
          </w:hyperlink>
        </w:p>
        <w:p w14:paraId="3987257F" w14:textId="79823999" w:rsidR="00C743DF" w:rsidRDefault="00267716">
          <w:pPr>
            <w:pStyle w:val="Turinys2"/>
            <w:tabs>
              <w:tab w:val="right" w:leader="dot" w:pos="9628"/>
            </w:tabs>
            <w:rPr>
              <w:rFonts w:eastAsiaTheme="minorEastAsia"/>
              <w:noProof/>
              <w:lang w:eastAsia="lt-LT"/>
            </w:rPr>
          </w:pPr>
          <w:hyperlink w:anchor="_Toc52184416" w:history="1">
            <w:r w:rsidR="00C743DF" w:rsidRPr="00EC0027">
              <w:rPr>
                <w:rStyle w:val="Hipersaitas"/>
                <w:i/>
                <w:noProof/>
              </w:rPr>
              <w:t>M. A. ir kiti prieš Bulgariją</w:t>
            </w:r>
            <w:r w:rsidR="00C743DF">
              <w:rPr>
                <w:noProof/>
                <w:webHidden/>
              </w:rPr>
              <w:tab/>
            </w:r>
            <w:r w:rsidR="00C743DF">
              <w:rPr>
                <w:noProof/>
                <w:webHidden/>
              </w:rPr>
              <w:fldChar w:fldCharType="begin"/>
            </w:r>
            <w:r w:rsidR="00C743DF">
              <w:rPr>
                <w:noProof/>
                <w:webHidden/>
              </w:rPr>
              <w:instrText xml:space="preserve"> PAGEREF _Toc52184416 \h </w:instrText>
            </w:r>
            <w:r w:rsidR="00C743DF">
              <w:rPr>
                <w:noProof/>
                <w:webHidden/>
              </w:rPr>
            </w:r>
            <w:r w:rsidR="00C743DF">
              <w:rPr>
                <w:noProof/>
                <w:webHidden/>
              </w:rPr>
              <w:fldChar w:fldCharType="separate"/>
            </w:r>
            <w:r w:rsidR="00C743DF">
              <w:rPr>
                <w:noProof/>
                <w:webHidden/>
              </w:rPr>
              <w:t>5</w:t>
            </w:r>
            <w:r w:rsidR="00C743DF">
              <w:rPr>
                <w:noProof/>
                <w:webHidden/>
              </w:rPr>
              <w:fldChar w:fldCharType="end"/>
            </w:r>
          </w:hyperlink>
        </w:p>
        <w:p w14:paraId="10B63E00" w14:textId="1A5B1A66" w:rsidR="00C743DF" w:rsidRDefault="00267716">
          <w:pPr>
            <w:pStyle w:val="Turinys3"/>
            <w:tabs>
              <w:tab w:val="right" w:leader="dot" w:pos="9628"/>
            </w:tabs>
            <w:rPr>
              <w:rFonts w:eastAsiaTheme="minorEastAsia"/>
              <w:noProof/>
              <w:lang w:eastAsia="lt-LT"/>
            </w:rPr>
          </w:pPr>
          <w:hyperlink w:anchor="_Toc52184417" w:history="1">
            <w:r w:rsidR="00C743DF" w:rsidRPr="00EC0027">
              <w:rPr>
                <w:rStyle w:val="Hipersaitas"/>
                <w:rFonts w:ascii="Calibri" w:eastAsia="Calibri" w:hAnsi="Calibri" w:cs="Calibri"/>
                <w:bCs/>
                <w:iCs/>
                <w:noProof/>
              </w:rPr>
              <w:t>Dėl veiksmingų garantijų trūkumo grąžinant uigūrus į Kiniją, esant savavališko sulaikymo, netinkamo elgesio ir mirties rizikai</w:t>
            </w:r>
            <w:r w:rsidR="00C743DF">
              <w:rPr>
                <w:noProof/>
                <w:webHidden/>
              </w:rPr>
              <w:tab/>
            </w:r>
            <w:r w:rsidR="00C743DF">
              <w:rPr>
                <w:noProof/>
                <w:webHidden/>
              </w:rPr>
              <w:fldChar w:fldCharType="begin"/>
            </w:r>
            <w:r w:rsidR="00C743DF">
              <w:rPr>
                <w:noProof/>
                <w:webHidden/>
              </w:rPr>
              <w:instrText xml:space="preserve"> PAGEREF _Toc52184417 \h </w:instrText>
            </w:r>
            <w:r w:rsidR="00C743DF">
              <w:rPr>
                <w:noProof/>
                <w:webHidden/>
              </w:rPr>
            </w:r>
            <w:r w:rsidR="00C743DF">
              <w:rPr>
                <w:noProof/>
                <w:webHidden/>
              </w:rPr>
              <w:fldChar w:fldCharType="separate"/>
            </w:r>
            <w:r w:rsidR="00C743DF">
              <w:rPr>
                <w:noProof/>
                <w:webHidden/>
              </w:rPr>
              <w:t>5</w:t>
            </w:r>
            <w:r w:rsidR="00C743DF">
              <w:rPr>
                <w:noProof/>
                <w:webHidden/>
              </w:rPr>
              <w:fldChar w:fldCharType="end"/>
            </w:r>
          </w:hyperlink>
        </w:p>
        <w:p w14:paraId="3A7536B4" w14:textId="4491A1FA" w:rsidR="00C743DF" w:rsidRDefault="00267716">
          <w:pPr>
            <w:pStyle w:val="Turinys2"/>
            <w:tabs>
              <w:tab w:val="right" w:leader="dot" w:pos="9628"/>
            </w:tabs>
            <w:rPr>
              <w:rFonts w:eastAsiaTheme="minorEastAsia"/>
              <w:noProof/>
              <w:lang w:eastAsia="lt-LT"/>
            </w:rPr>
          </w:pPr>
          <w:hyperlink w:anchor="_Toc52184418" w:history="1">
            <w:r w:rsidR="00C743DF" w:rsidRPr="00EC0027">
              <w:rPr>
                <w:rStyle w:val="Hipersaitas"/>
                <w:i/>
                <w:noProof/>
              </w:rPr>
              <w:t>Marius Alexandru ir Marinela Ștefan prieš Rumuniją</w:t>
            </w:r>
            <w:r w:rsidR="00C743DF">
              <w:rPr>
                <w:noProof/>
                <w:webHidden/>
              </w:rPr>
              <w:tab/>
            </w:r>
            <w:r w:rsidR="00C743DF">
              <w:rPr>
                <w:noProof/>
                <w:webHidden/>
              </w:rPr>
              <w:fldChar w:fldCharType="begin"/>
            </w:r>
            <w:r w:rsidR="00C743DF">
              <w:rPr>
                <w:noProof/>
                <w:webHidden/>
              </w:rPr>
              <w:instrText xml:space="preserve"> PAGEREF _Toc52184418 \h </w:instrText>
            </w:r>
            <w:r w:rsidR="00C743DF">
              <w:rPr>
                <w:noProof/>
                <w:webHidden/>
              </w:rPr>
            </w:r>
            <w:r w:rsidR="00C743DF">
              <w:rPr>
                <w:noProof/>
                <w:webHidden/>
              </w:rPr>
              <w:fldChar w:fldCharType="separate"/>
            </w:r>
            <w:r w:rsidR="00C743DF">
              <w:rPr>
                <w:noProof/>
                <w:webHidden/>
              </w:rPr>
              <w:t>6</w:t>
            </w:r>
            <w:r w:rsidR="00C743DF">
              <w:rPr>
                <w:noProof/>
                <w:webHidden/>
              </w:rPr>
              <w:fldChar w:fldCharType="end"/>
            </w:r>
          </w:hyperlink>
        </w:p>
        <w:p w14:paraId="3DC073C7" w14:textId="4A810CEE" w:rsidR="00C743DF" w:rsidRDefault="00267716">
          <w:pPr>
            <w:pStyle w:val="Turinys3"/>
            <w:tabs>
              <w:tab w:val="right" w:leader="dot" w:pos="9628"/>
            </w:tabs>
            <w:rPr>
              <w:rFonts w:eastAsiaTheme="minorEastAsia"/>
              <w:noProof/>
              <w:lang w:eastAsia="lt-LT"/>
            </w:rPr>
          </w:pPr>
          <w:hyperlink w:anchor="_Toc52184419" w:history="1">
            <w:r w:rsidR="00C743DF" w:rsidRPr="00EC0027">
              <w:rPr>
                <w:rStyle w:val="Hipersaitas"/>
                <w:noProof/>
              </w:rPr>
              <w:t>Dėl nesugebėjimo nustatyti medžio išvirtimo, lėmusio mirtiną eismo įvykį, priežastis ir tikėtino valstybės institucijų aplaidumo</w:t>
            </w:r>
            <w:r w:rsidR="00C743DF">
              <w:rPr>
                <w:noProof/>
                <w:webHidden/>
              </w:rPr>
              <w:tab/>
            </w:r>
            <w:r w:rsidR="00C743DF">
              <w:rPr>
                <w:noProof/>
                <w:webHidden/>
              </w:rPr>
              <w:fldChar w:fldCharType="begin"/>
            </w:r>
            <w:r w:rsidR="00C743DF">
              <w:rPr>
                <w:noProof/>
                <w:webHidden/>
              </w:rPr>
              <w:instrText xml:space="preserve"> PAGEREF _Toc52184419 \h </w:instrText>
            </w:r>
            <w:r w:rsidR="00C743DF">
              <w:rPr>
                <w:noProof/>
                <w:webHidden/>
              </w:rPr>
            </w:r>
            <w:r w:rsidR="00C743DF">
              <w:rPr>
                <w:noProof/>
                <w:webHidden/>
              </w:rPr>
              <w:fldChar w:fldCharType="separate"/>
            </w:r>
            <w:r w:rsidR="00C743DF">
              <w:rPr>
                <w:noProof/>
                <w:webHidden/>
              </w:rPr>
              <w:t>6</w:t>
            </w:r>
            <w:r w:rsidR="00C743DF">
              <w:rPr>
                <w:noProof/>
                <w:webHidden/>
              </w:rPr>
              <w:fldChar w:fldCharType="end"/>
            </w:r>
          </w:hyperlink>
        </w:p>
        <w:p w14:paraId="1B2671B6" w14:textId="0F4E7C43" w:rsidR="00C743DF" w:rsidRDefault="00267716">
          <w:pPr>
            <w:pStyle w:val="Turinys1"/>
            <w:rPr>
              <w:rFonts w:eastAsiaTheme="minorEastAsia"/>
              <w:color w:val="auto"/>
              <w:lang w:eastAsia="lt-LT"/>
            </w:rPr>
          </w:pPr>
          <w:hyperlink w:anchor="_Toc52184420" w:history="1">
            <w:r w:rsidR="00C743DF" w:rsidRPr="00EC0027">
              <w:rPr>
                <w:rStyle w:val="Hipersaitas"/>
                <w:rFonts w:eastAsia="Times New Roman"/>
              </w:rPr>
              <w:t>TEISĖ Į TEISINGĄ BYLOS NAGRINĖJIMĄ (6 straipsnis)</w:t>
            </w:r>
            <w:r w:rsidR="00C743DF">
              <w:rPr>
                <w:webHidden/>
              </w:rPr>
              <w:tab/>
            </w:r>
            <w:r w:rsidR="00C743DF">
              <w:rPr>
                <w:webHidden/>
              </w:rPr>
              <w:fldChar w:fldCharType="begin"/>
            </w:r>
            <w:r w:rsidR="00C743DF">
              <w:rPr>
                <w:webHidden/>
              </w:rPr>
              <w:instrText xml:space="preserve"> PAGEREF _Toc52184420 \h </w:instrText>
            </w:r>
            <w:r w:rsidR="00C743DF">
              <w:rPr>
                <w:webHidden/>
              </w:rPr>
            </w:r>
            <w:r w:rsidR="00C743DF">
              <w:rPr>
                <w:webHidden/>
              </w:rPr>
              <w:fldChar w:fldCharType="separate"/>
            </w:r>
            <w:r w:rsidR="00C743DF">
              <w:rPr>
                <w:webHidden/>
              </w:rPr>
              <w:t>7</w:t>
            </w:r>
            <w:r w:rsidR="00C743DF">
              <w:rPr>
                <w:webHidden/>
              </w:rPr>
              <w:fldChar w:fldCharType="end"/>
            </w:r>
          </w:hyperlink>
        </w:p>
        <w:p w14:paraId="2CE5137B" w14:textId="5D155F28" w:rsidR="00C743DF" w:rsidRDefault="00267716">
          <w:pPr>
            <w:pStyle w:val="Turinys2"/>
            <w:tabs>
              <w:tab w:val="right" w:leader="dot" w:pos="9628"/>
            </w:tabs>
            <w:rPr>
              <w:rFonts w:eastAsiaTheme="minorEastAsia"/>
              <w:noProof/>
              <w:lang w:eastAsia="lt-LT"/>
            </w:rPr>
          </w:pPr>
          <w:hyperlink w:anchor="_Toc52184421" w:history="1">
            <w:r w:rsidR="00C743DF" w:rsidRPr="00EC0027">
              <w:rPr>
                <w:rStyle w:val="Hipersaitas"/>
                <w:i/>
                <w:noProof/>
              </w:rPr>
              <w:t>Munteanu prieš Rumuniją</w:t>
            </w:r>
            <w:r w:rsidR="00C743DF">
              <w:rPr>
                <w:noProof/>
                <w:webHidden/>
              </w:rPr>
              <w:tab/>
            </w:r>
            <w:r w:rsidR="00C743DF">
              <w:rPr>
                <w:noProof/>
                <w:webHidden/>
              </w:rPr>
              <w:fldChar w:fldCharType="begin"/>
            </w:r>
            <w:r w:rsidR="00C743DF">
              <w:rPr>
                <w:noProof/>
                <w:webHidden/>
              </w:rPr>
              <w:instrText xml:space="preserve"> PAGEREF _Toc52184421 \h </w:instrText>
            </w:r>
            <w:r w:rsidR="00C743DF">
              <w:rPr>
                <w:noProof/>
                <w:webHidden/>
              </w:rPr>
            </w:r>
            <w:r w:rsidR="00C743DF">
              <w:rPr>
                <w:noProof/>
                <w:webHidden/>
              </w:rPr>
              <w:fldChar w:fldCharType="separate"/>
            </w:r>
            <w:r w:rsidR="00C743DF">
              <w:rPr>
                <w:noProof/>
                <w:webHidden/>
              </w:rPr>
              <w:t>7</w:t>
            </w:r>
            <w:r w:rsidR="00C743DF">
              <w:rPr>
                <w:noProof/>
                <w:webHidden/>
              </w:rPr>
              <w:fldChar w:fldCharType="end"/>
            </w:r>
          </w:hyperlink>
        </w:p>
        <w:p w14:paraId="6B2930A5" w14:textId="5D381DC7" w:rsidR="00C743DF" w:rsidRDefault="00267716">
          <w:pPr>
            <w:pStyle w:val="Turinys3"/>
            <w:tabs>
              <w:tab w:val="right" w:leader="dot" w:pos="9628"/>
            </w:tabs>
            <w:rPr>
              <w:rFonts w:eastAsiaTheme="minorEastAsia"/>
              <w:noProof/>
              <w:lang w:eastAsia="lt-LT"/>
            </w:rPr>
          </w:pPr>
          <w:hyperlink w:anchor="_Toc52184422" w:history="1">
            <w:r w:rsidR="00C743DF" w:rsidRPr="00EC0027">
              <w:rPr>
                <w:rStyle w:val="Hipersaitas"/>
                <w:noProof/>
              </w:rPr>
              <w:t>Dėl reikalavimo atnaujinti civilinę bylą, kai Europos Žmogaus Teisių Teismas konstatavo Konvencijos pažeidimą</w:t>
            </w:r>
            <w:r w:rsidR="00C743DF">
              <w:rPr>
                <w:noProof/>
                <w:webHidden/>
              </w:rPr>
              <w:tab/>
            </w:r>
            <w:r w:rsidR="00C743DF">
              <w:rPr>
                <w:noProof/>
                <w:webHidden/>
              </w:rPr>
              <w:fldChar w:fldCharType="begin"/>
            </w:r>
            <w:r w:rsidR="00C743DF">
              <w:rPr>
                <w:noProof/>
                <w:webHidden/>
              </w:rPr>
              <w:instrText xml:space="preserve"> PAGEREF _Toc52184422 \h </w:instrText>
            </w:r>
            <w:r w:rsidR="00C743DF">
              <w:rPr>
                <w:noProof/>
                <w:webHidden/>
              </w:rPr>
            </w:r>
            <w:r w:rsidR="00C743DF">
              <w:rPr>
                <w:noProof/>
                <w:webHidden/>
              </w:rPr>
              <w:fldChar w:fldCharType="separate"/>
            </w:r>
            <w:r w:rsidR="00C743DF">
              <w:rPr>
                <w:noProof/>
                <w:webHidden/>
              </w:rPr>
              <w:t>7</w:t>
            </w:r>
            <w:r w:rsidR="00C743DF">
              <w:rPr>
                <w:noProof/>
                <w:webHidden/>
              </w:rPr>
              <w:fldChar w:fldCharType="end"/>
            </w:r>
          </w:hyperlink>
        </w:p>
        <w:p w14:paraId="263C176A" w14:textId="4F971CA5" w:rsidR="00C743DF" w:rsidRDefault="00267716">
          <w:pPr>
            <w:pStyle w:val="Turinys2"/>
            <w:tabs>
              <w:tab w:val="right" w:leader="dot" w:pos="9628"/>
            </w:tabs>
            <w:rPr>
              <w:rFonts w:eastAsiaTheme="minorEastAsia"/>
              <w:noProof/>
              <w:lang w:eastAsia="lt-LT"/>
            </w:rPr>
          </w:pPr>
          <w:hyperlink w:anchor="_Toc52184423" w:history="1">
            <w:r w:rsidR="00C743DF" w:rsidRPr="00EC0027">
              <w:rPr>
                <w:rStyle w:val="Hipersaitas"/>
                <w:rFonts w:eastAsia="Calibri" w:cstheme="minorHAnsi"/>
                <w:i/>
                <w:noProof/>
              </w:rPr>
              <w:t>Černius ir Rinkevičius prieš Lietuvą</w:t>
            </w:r>
            <w:r w:rsidR="00C743DF">
              <w:rPr>
                <w:noProof/>
                <w:webHidden/>
              </w:rPr>
              <w:tab/>
            </w:r>
            <w:r w:rsidR="00C743DF">
              <w:rPr>
                <w:noProof/>
                <w:webHidden/>
              </w:rPr>
              <w:fldChar w:fldCharType="begin"/>
            </w:r>
            <w:r w:rsidR="00C743DF">
              <w:rPr>
                <w:noProof/>
                <w:webHidden/>
              </w:rPr>
              <w:instrText xml:space="preserve"> PAGEREF _Toc52184423 \h </w:instrText>
            </w:r>
            <w:r w:rsidR="00C743DF">
              <w:rPr>
                <w:noProof/>
                <w:webHidden/>
              </w:rPr>
            </w:r>
            <w:r w:rsidR="00C743DF">
              <w:rPr>
                <w:noProof/>
                <w:webHidden/>
              </w:rPr>
              <w:fldChar w:fldCharType="separate"/>
            </w:r>
            <w:r w:rsidR="00C743DF">
              <w:rPr>
                <w:noProof/>
                <w:webHidden/>
              </w:rPr>
              <w:t>9</w:t>
            </w:r>
            <w:r w:rsidR="00C743DF">
              <w:rPr>
                <w:noProof/>
                <w:webHidden/>
              </w:rPr>
              <w:fldChar w:fldCharType="end"/>
            </w:r>
          </w:hyperlink>
        </w:p>
        <w:p w14:paraId="6A5AFF84" w14:textId="479848C3" w:rsidR="00C743DF" w:rsidRDefault="00267716">
          <w:pPr>
            <w:pStyle w:val="Turinys3"/>
            <w:tabs>
              <w:tab w:val="right" w:leader="dot" w:pos="9628"/>
            </w:tabs>
            <w:rPr>
              <w:rFonts w:eastAsiaTheme="minorEastAsia"/>
              <w:noProof/>
              <w:lang w:eastAsia="lt-LT"/>
            </w:rPr>
          </w:pPr>
          <w:hyperlink w:anchor="_Toc52184424" w:history="1">
            <w:r w:rsidR="00C743DF" w:rsidRPr="00EC0027">
              <w:rPr>
                <w:rStyle w:val="Hipersaitas"/>
                <w:rFonts w:eastAsia="Calibri" w:cstheme="minorHAnsi"/>
                <w:bCs/>
                <w:iCs/>
                <w:noProof/>
              </w:rPr>
              <w:t>Dėl teisės gauti bylinėjimosi išlaidas, patirtas nagrinėjant administracinio nusižengimo bylą, kai paskirtos sankcijos dydis yra mažesnis nei pačios bylinėjimosi išlaidos</w:t>
            </w:r>
            <w:r w:rsidR="00C743DF">
              <w:rPr>
                <w:noProof/>
                <w:webHidden/>
              </w:rPr>
              <w:tab/>
            </w:r>
            <w:r w:rsidR="00C743DF">
              <w:rPr>
                <w:noProof/>
                <w:webHidden/>
              </w:rPr>
              <w:fldChar w:fldCharType="begin"/>
            </w:r>
            <w:r w:rsidR="00C743DF">
              <w:rPr>
                <w:noProof/>
                <w:webHidden/>
              </w:rPr>
              <w:instrText xml:space="preserve"> PAGEREF _Toc52184424 \h </w:instrText>
            </w:r>
            <w:r w:rsidR="00C743DF">
              <w:rPr>
                <w:noProof/>
                <w:webHidden/>
              </w:rPr>
            </w:r>
            <w:r w:rsidR="00C743DF">
              <w:rPr>
                <w:noProof/>
                <w:webHidden/>
              </w:rPr>
              <w:fldChar w:fldCharType="separate"/>
            </w:r>
            <w:r w:rsidR="00C743DF">
              <w:rPr>
                <w:noProof/>
                <w:webHidden/>
              </w:rPr>
              <w:t>9</w:t>
            </w:r>
            <w:r w:rsidR="00C743DF">
              <w:rPr>
                <w:noProof/>
                <w:webHidden/>
              </w:rPr>
              <w:fldChar w:fldCharType="end"/>
            </w:r>
          </w:hyperlink>
        </w:p>
        <w:p w14:paraId="40096C21" w14:textId="12932394" w:rsidR="00C743DF" w:rsidRDefault="00267716">
          <w:pPr>
            <w:pStyle w:val="Turinys2"/>
            <w:tabs>
              <w:tab w:val="right" w:leader="dot" w:pos="9628"/>
            </w:tabs>
            <w:rPr>
              <w:rFonts w:eastAsiaTheme="minorEastAsia"/>
              <w:noProof/>
              <w:lang w:eastAsia="lt-LT"/>
            </w:rPr>
          </w:pPr>
          <w:hyperlink w:anchor="_Toc52184425" w:history="1">
            <w:r w:rsidR="00C743DF" w:rsidRPr="00EC0027">
              <w:rPr>
                <w:rStyle w:val="Hipersaitas"/>
                <w:i/>
                <w:noProof/>
              </w:rPr>
              <w:t>Kövesi prieš Rumuniją</w:t>
            </w:r>
            <w:r w:rsidR="00C743DF">
              <w:rPr>
                <w:noProof/>
                <w:webHidden/>
              </w:rPr>
              <w:tab/>
            </w:r>
            <w:r w:rsidR="00C743DF">
              <w:rPr>
                <w:noProof/>
                <w:webHidden/>
              </w:rPr>
              <w:fldChar w:fldCharType="begin"/>
            </w:r>
            <w:r w:rsidR="00C743DF">
              <w:rPr>
                <w:noProof/>
                <w:webHidden/>
              </w:rPr>
              <w:instrText xml:space="preserve"> PAGEREF _Toc52184425 \h </w:instrText>
            </w:r>
            <w:r w:rsidR="00C743DF">
              <w:rPr>
                <w:noProof/>
                <w:webHidden/>
              </w:rPr>
            </w:r>
            <w:r w:rsidR="00C743DF">
              <w:rPr>
                <w:noProof/>
                <w:webHidden/>
              </w:rPr>
              <w:fldChar w:fldCharType="separate"/>
            </w:r>
            <w:r w:rsidR="00C743DF">
              <w:rPr>
                <w:noProof/>
                <w:webHidden/>
              </w:rPr>
              <w:t>10</w:t>
            </w:r>
            <w:r w:rsidR="00C743DF">
              <w:rPr>
                <w:noProof/>
                <w:webHidden/>
              </w:rPr>
              <w:fldChar w:fldCharType="end"/>
            </w:r>
          </w:hyperlink>
        </w:p>
        <w:p w14:paraId="44860D86" w14:textId="31231A0D" w:rsidR="00C743DF" w:rsidRDefault="00267716">
          <w:pPr>
            <w:pStyle w:val="Turinys3"/>
            <w:tabs>
              <w:tab w:val="right" w:leader="dot" w:pos="9628"/>
            </w:tabs>
            <w:rPr>
              <w:rFonts w:eastAsiaTheme="minorEastAsia"/>
              <w:noProof/>
              <w:lang w:eastAsia="lt-LT"/>
            </w:rPr>
          </w:pPr>
          <w:hyperlink w:anchor="_Toc52184426" w:history="1">
            <w:r w:rsidR="00C743DF" w:rsidRPr="00EC0027">
              <w:rPr>
                <w:rStyle w:val="Hipersaitas"/>
                <w:noProof/>
              </w:rPr>
              <w:t>Dėl priešlaikinio (nepasibaigus kadencijai) vyriausiosios prokurorės įgaliojimų nutraukimo</w:t>
            </w:r>
            <w:r w:rsidR="00FC2556">
              <w:rPr>
                <w:rStyle w:val="Hipersaitas"/>
                <w:noProof/>
              </w:rPr>
              <w:t>,</w:t>
            </w:r>
            <w:r w:rsidR="00C743DF" w:rsidRPr="00EC0027">
              <w:rPr>
                <w:rStyle w:val="Hipersaitas"/>
                <w:noProof/>
              </w:rPr>
              <w:t xml:space="preserve"> viešai pareiškus kritiką dėl įstatymų leidybos reformų bei nesudarytos galimybės veiksmingai ginčyti atleidimo</w:t>
            </w:r>
            <w:r w:rsidR="00C743DF">
              <w:rPr>
                <w:noProof/>
                <w:webHidden/>
              </w:rPr>
              <w:tab/>
            </w:r>
            <w:r w:rsidR="00C743DF">
              <w:rPr>
                <w:noProof/>
                <w:webHidden/>
              </w:rPr>
              <w:fldChar w:fldCharType="begin"/>
            </w:r>
            <w:r w:rsidR="00C743DF">
              <w:rPr>
                <w:noProof/>
                <w:webHidden/>
              </w:rPr>
              <w:instrText xml:space="preserve"> PAGEREF _Toc52184426 \h </w:instrText>
            </w:r>
            <w:r w:rsidR="00C743DF">
              <w:rPr>
                <w:noProof/>
                <w:webHidden/>
              </w:rPr>
            </w:r>
            <w:r w:rsidR="00C743DF">
              <w:rPr>
                <w:noProof/>
                <w:webHidden/>
              </w:rPr>
              <w:fldChar w:fldCharType="separate"/>
            </w:r>
            <w:r w:rsidR="00C743DF">
              <w:rPr>
                <w:noProof/>
                <w:webHidden/>
              </w:rPr>
              <w:t>10</w:t>
            </w:r>
            <w:r w:rsidR="00C743DF">
              <w:rPr>
                <w:noProof/>
                <w:webHidden/>
              </w:rPr>
              <w:fldChar w:fldCharType="end"/>
            </w:r>
          </w:hyperlink>
        </w:p>
        <w:p w14:paraId="65C197DB" w14:textId="3F238CE4" w:rsidR="00C743DF" w:rsidRDefault="00267716">
          <w:pPr>
            <w:pStyle w:val="Turinys1"/>
            <w:rPr>
              <w:rFonts w:eastAsiaTheme="minorEastAsia"/>
              <w:color w:val="auto"/>
              <w:lang w:eastAsia="lt-LT"/>
            </w:rPr>
          </w:pPr>
          <w:hyperlink w:anchor="_Toc52184427" w:history="1">
            <w:r w:rsidR="00C743DF" w:rsidRPr="00EC0027">
              <w:rPr>
                <w:rStyle w:val="Hipersaitas"/>
                <w:rFonts w:eastAsia="Times New Roman"/>
              </w:rPr>
              <w:t>NĖRA BAUSMĖS BE ĮSTATYMO (7 straipsnis)</w:t>
            </w:r>
            <w:r w:rsidR="00C743DF">
              <w:rPr>
                <w:webHidden/>
              </w:rPr>
              <w:tab/>
            </w:r>
            <w:r w:rsidR="00C743DF">
              <w:rPr>
                <w:webHidden/>
              </w:rPr>
              <w:fldChar w:fldCharType="begin"/>
            </w:r>
            <w:r w:rsidR="00C743DF">
              <w:rPr>
                <w:webHidden/>
              </w:rPr>
              <w:instrText xml:space="preserve"> PAGEREF _Toc52184427 \h </w:instrText>
            </w:r>
            <w:r w:rsidR="00C743DF">
              <w:rPr>
                <w:webHidden/>
              </w:rPr>
            </w:r>
            <w:r w:rsidR="00C743DF">
              <w:rPr>
                <w:webHidden/>
              </w:rPr>
              <w:fldChar w:fldCharType="separate"/>
            </w:r>
            <w:r w:rsidR="00C743DF">
              <w:rPr>
                <w:webHidden/>
              </w:rPr>
              <w:t>12</w:t>
            </w:r>
            <w:r w:rsidR="00C743DF">
              <w:rPr>
                <w:webHidden/>
              </w:rPr>
              <w:fldChar w:fldCharType="end"/>
            </w:r>
          </w:hyperlink>
        </w:p>
        <w:p w14:paraId="4EEBA604" w14:textId="6782E982" w:rsidR="00C743DF" w:rsidRDefault="00267716">
          <w:pPr>
            <w:pStyle w:val="Turinys2"/>
            <w:tabs>
              <w:tab w:val="right" w:leader="dot" w:pos="9628"/>
            </w:tabs>
            <w:rPr>
              <w:rFonts w:eastAsiaTheme="minorEastAsia"/>
              <w:noProof/>
              <w:lang w:eastAsia="lt-LT"/>
            </w:rPr>
          </w:pPr>
          <w:hyperlink w:anchor="_Toc52184428" w:history="1">
            <w:r w:rsidR="00C743DF" w:rsidRPr="00EC0027">
              <w:rPr>
                <w:rStyle w:val="Hipersaitas"/>
                <w:rFonts w:eastAsia="Times New Roman"/>
                <w:i/>
                <w:noProof/>
              </w:rPr>
              <w:t>pagal Armėnijos Konstitucinio Teismo prašymą</w:t>
            </w:r>
            <w:r w:rsidR="00C743DF">
              <w:rPr>
                <w:noProof/>
                <w:webHidden/>
              </w:rPr>
              <w:tab/>
            </w:r>
            <w:r w:rsidR="00C743DF">
              <w:rPr>
                <w:noProof/>
                <w:webHidden/>
              </w:rPr>
              <w:fldChar w:fldCharType="begin"/>
            </w:r>
            <w:r w:rsidR="00C743DF">
              <w:rPr>
                <w:noProof/>
                <w:webHidden/>
              </w:rPr>
              <w:instrText xml:space="preserve"> PAGEREF _Toc52184428 \h </w:instrText>
            </w:r>
            <w:r w:rsidR="00C743DF">
              <w:rPr>
                <w:noProof/>
                <w:webHidden/>
              </w:rPr>
            </w:r>
            <w:r w:rsidR="00C743DF">
              <w:rPr>
                <w:noProof/>
                <w:webHidden/>
              </w:rPr>
              <w:fldChar w:fldCharType="separate"/>
            </w:r>
            <w:r w:rsidR="00C743DF">
              <w:rPr>
                <w:noProof/>
                <w:webHidden/>
              </w:rPr>
              <w:t>12</w:t>
            </w:r>
            <w:r w:rsidR="00C743DF">
              <w:rPr>
                <w:noProof/>
                <w:webHidden/>
              </w:rPr>
              <w:fldChar w:fldCharType="end"/>
            </w:r>
          </w:hyperlink>
        </w:p>
        <w:p w14:paraId="414CD227" w14:textId="484F8AE5" w:rsidR="00C743DF" w:rsidRDefault="00267716">
          <w:pPr>
            <w:pStyle w:val="Turinys3"/>
            <w:tabs>
              <w:tab w:val="right" w:leader="dot" w:pos="9628"/>
            </w:tabs>
            <w:rPr>
              <w:rFonts w:eastAsiaTheme="minorEastAsia"/>
              <w:noProof/>
              <w:lang w:eastAsia="lt-LT"/>
            </w:rPr>
          </w:pPr>
          <w:hyperlink w:anchor="_Toc52184429" w:history="1">
            <w:r w:rsidR="00C743DF" w:rsidRPr="00EC0027">
              <w:rPr>
                <w:rStyle w:val="Hipersaitas"/>
                <w:noProof/>
              </w:rPr>
              <w:t>Dėl „blanketinės normos“ arba „teisinio reguliavimo nuorodomis“ technikos naudojimo apibrėžiant nusikalstamą veiką ir standartų, taikytinų lyginant baudžiamąjį įstatymą, galiojusį nusikalstamos veikos padarymo metu, ir pakeistą baudžiamąjį įstatymą</w:t>
            </w:r>
            <w:r w:rsidR="00C743DF">
              <w:rPr>
                <w:noProof/>
                <w:webHidden/>
              </w:rPr>
              <w:tab/>
            </w:r>
            <w:r w:rsidR="00C743DF">
              <w:rPr>
                <w:noProof/>
                <w:webHidden/>
              </w:rPr>
              <w:fldChar w:fldCharType="begin"/>
            </w:r>
            <w:r w:rsidR="00C743DF">
              <w:rPr>
                <w:noProof/>
                <w:webHidden/>
              </w:rPr>
              <w:instrText xml:space="preserve"> PAGEREF _Toc52184429 \h </w:instrText>
            </w:r>
            <w:r w:rsidR="00C743DF">
              <w:rPr>
                <w:noProof/>
                <w:webHidden/>
              </w:rPr>
            </w:r>
            <w:r w:rsidR="00C743DF">
              <w:rPr>
                <w:noProof/>
                <w:webHidden/>
              </w:rPr>
              <w:fldChar w:fldCharType="separate"/>
            </w:r>
            <w:r w:rsidR="00C743DF">
              <w:rPr>
                <w:noProof/>
                <w:webHidden/>
              </w:rPr>
              <w:t>12</w:t>
            </w:r>
            <w:r w:rsidR="00C743DF">
              <w:rPr>
                <w:noProof/>
                <w:webHidden/>
              </w:rPr>
              <w:fldChar w:fldCharType="end"/>
            </w:r>
          </w:hyperlink>
        </w:p>
        <w:p w14:paraId="3B26EED2" w14:textId="739DAF0F" w:rsidR="00C743DF" w:rsidRDefault="00267716">
          <w:pPr>
            <w:pStyle w:val="Turinys1"/>
            <w:rPr>
              <w:rFonts w:eastAsiaTheme="minorEastAsia"/>
              <w:color w:val="auto"/>
              <w:lang w:eastAsia="lt-LT"/>
            </w:rPr>
          </w:pPr>
          <w:hyperlink w:anchor="_Toc52184430" w:history="1">
            <w:r w:rsidR="00C743DF" w:rsidRPr="00EC0027">
              <w:rPr>
                <w:rStyle w:val="Hipersaitas"/>
                <w:rFonts w:eastAsia="Times New Roman"/>
              </w:rPr>
              <w:t>TEISĖ Į PRIVATAUS IR ŠEIMOS GYVENIMO GERBIMĄ (8 straipsnis)</w:t>
            </w:r>
            <w:r w:rsidR="00C743DF">
              <w:rPr>
                <w:webHidden/>
              </w:rPr>
              <w:tab/>
            </w:r>
            <w:r w:rsidR="00C743DF">
              <w:rPr>
                <w:webHidden/>
              </w:rPr>
              <w:fldChar w:fldCharType="begin"/>
            </w:r>
            <w:r w:rsidR="00C743DF">
              <w:rPr>
                <w:webHidden/>
              </w:rPr>
              <w:instrText xml:space="preserve"> PAGEREF _Toc52184430 \h </w:instrText>
            </w:r>
            <w:r w:rsidR="00C743DF">
              <w:rPr>
                <w:webHidden/>
              </w:rPr>
            </w:r>
            <w:r w:rsidR="00C743DF">
              <w:rPr>
                <w:webHidden/>
              </w:rPr>
              <w:fldChar w:fldCharType="separate"/>
            </w:r>
            <w:r w:rsidR="00C743DF">
              <w:rPr>
                <w:webHidden/>
              </w:rPr>
              <w:t>14</w:t>
            </w:r>
            <w:r w:rsidR="00C743DF">
              <w:rPr>
                <w:webHidden/>
              </w:rPr>
              <w:fldChar w:fldCharType="end"/>
            </w:r>
          </w:hyperlink>
        </w:p>
        <w:p w14:paraId="5FA4C128" w14:textId="0E1F4E0B" w:rsidR="00C743DF" w:rsidRDefault="00267716">
          <w:pPr>
            <w:pStyle w:val="Turinys2"/>
            <w:tabs>
              <w:tab w:val="right" w:leader="dot" w:pos="9628"/>
            </w:tabs>
            <w:rPr>
              <w:rFonts w:eastAsiaTheme="minorEastAsia"/>
              <w:noProof/>
              <w:lang w:eastAsia="lt-LT"/>
            </w:rPr>
          </w:pPr>
          <w:hyperlink w:anchor="_Toc52184431" w:history="1">
            <w:r w:rsidR="00C743DF" w:rsidRPr="00EC0027">
              <w:rPr>
                <w:rStyle w:val="Hipersaitas"/>
                <w:i/>
                <w:noProof/>
              </w:rPr>
              <w:t>Ciupercescu prieš Rumuniją (Nr. 3)</w:t>
            </w:r>
            <w:r w:rsidR="00C743DF">
              <w:rPr>
                <w:noProof/>
                <w:webHidden/>
              </w:rPr>
              <w:tab/>
            </w:r>
            <w:r w:rsidR="00C743DF">
              <w:rPr>
                <w:noProof/>
                <w:webHidden/>
              </w:rPr>
              <w:fldChar w:fldCharType="begin"/>
            </w:r>
            <w:r w:rsidR="00C743DF">
              <w:rPr>
                <w:noProof/>
                <w:webHidden/>
              </w:rPr>
              <w:instrText xml:space="preserve"> PAGEREF _Toc52184431 \h </w:instrText>
            </w:r>
            <w:r w:rsidR="00C743DF">
              <w:rPr>
                <w:noProof/>
                <w:webHidden/>
              </w:rPr>
            </w:r>
            <w:r w:rsidR="00C743DF">
              <w:rPr>
                <w:noProof/>
                <w:webHidden/>
              </w:rPr>
              <w:fldChar w:fldCharType="separate"/>
            </w:r>
            <w:r w:rsidR="00C743DF">
              <w:rPr>
                <w:noProof/>
                <w:webHidden/>
              </w:rPr>
              <w:t>14</w:t>
            </w:r>
            <w:r w:rsidR="00C743DF">
              <w:rPr>
                <w:noProof/>
                <w:webHidden/>
              </w:rPr>
              <w:fldChar w:fldCharType="end"/>
            </w:r>
          </w:hyperlink>
        </w:p>
        <w:p w14:paraId="4E9317B0" w14:textId="2F600C26" w:rsidR="00C743DF" w:rsidRDefault="00267716">
          <w:pPr>
            <w:pStyle w:val="Turinys3"/>
            <w:tabs>
              <w:tab w:val="right" w:leader="dot" w:pos="9628"/>
            </w:tabs>
            <w:rPr>
              <w:rFonts w:eastAsiaTheme="minorEastAsia"/>
              <w:noProof/>
              <w:lang w:eastAsia="lt-LT"/>
            </w:rPr>
          </w:pPr>
          <w:hyperlink w:anchor="_Toc52184432" w:history="1">
            <w:r w:rsidR="00C743DF" w:rsidRPr="00EC0027">
              <w:rPr>
                <w:rStyle w:val="Hipersaitas"/>
                <w:noProof/>
              </w:rPr>
              <w:t>Dėl laikino ribojimo kaliniui pasinaudoti interneto ryšio priemonėmis bendraujant su šeimos nariais</w:t>
            </w:r>
            <w:r w:rsidR="00C743DF">
              <w:rPr>
                <w:noProof/>
                <w:webHidden/>
              </w:rPr>
              <w:tab/>
            </w:r>
            <w:r w:rsidR="00C743DF">
              <w:rPr>
                <w:noProof/>
                <w:webHidden/>
              </w:rPr>
              <w:fldChar w:fldCharType="begin"/>
            </w:r>
            <w:r w:rsidR="00C743DF">
              <w:rPr>
                <w:noProof/>
                <w:webHidden/>
              </w:rPr>
              <w:instrText xml:space="preserve"> PAGEREF _Toc52184432 \h </w:instrText>
            </w:r>
            <w:r w:rsidR="00C743DF">
              <w:rPr>
                <w:noProof/>
                <w:webHidden/>
              </w:rPr>
            </w:r>
            <w:r w:rsidR="00C743DF">
              <w:rPr>
                <w:noProof/>
                <w:webHidden/>
              </w:rPr>
              <w:fldChar w:fldCharType="separate"/>
            </w:r>
            <w:r w:rsidR="00C743DF">
              <w:rPr>
                <w:noProof/>
                <w:webHidden/>
              </w:rPr>
              <w:t>14</w:t>
            </w:r>
            <w:r w:rsidR="00C743DF">
              <w:rPr>
                <w:noProof/>
                <w:webHidden/>
              </w:rPr>
              <w:fldChar w:fldCharType="end"/>
            </w:r>
          </w:hyperlink>
        </w:p>
        <w:p w14:paraId="7C0093F3" w14:textId="61FF71ED" w:rsidR="00C743DF" w:rsidRDefault="00267716">
          <w:pPr>
            <w:pStyle w:val="Turinys2"/>
            <w:tabs>
              <w:tab w:val="right" w:leader="dot" w:pos="9628"/>
            </w:tabs>
            <w:rPr>
              <w:rFonts w:eastAsiaTheme="minorEastAsia"/>
              <w:noProof/>
              <w:lang w:eastAsia="lt-LT"/>
            </w:rPr>
          </w:pPr>
          <w:hyperlink w:anchor="_Toc52184433" w:history="1">
            <w:r w:rsidR="00C743DF" w:rsidRPr="00EC0027">
              <w:rPr>
                <w:rStyle w:val="Hipersaitas"/>
                <w:rFonts w:eastAsia="Calibri" w:cstheme="minorHAnsi"/>
                <w:i/>
                <w:noProof/>
              </w:rPr>
              <w:t>Breyer prieš Vokietiją</w:t>
            </w:r>
            <w:r w:rsidR="00C743DF">
              <w:rPr>
                <w:noProof/>
                <w:webHidden/>
              </w:rPr>
              <w:tab/>
            </w:r>
            <w:r w:rsidR="00C743DF">
              <w:rPr>
                <w:noProof/>
                <w:webHidden/>
              </w:rPr>
              <w:fldChar w:fldCharType="begin"/>
            </w:r>
            <w:r w:rsidR="00C743DF">
              <w:rPr>
                <w:noProof/>
                <w:webHidden/>
              </w:rPr>
              <w:instrText xml:space="preserve"> PAGEREF _Toc52184433 \h </w:instrText>
            </w:r>
            <w:r w:rsidR="00C743DF">
              <w:rPr>
                <w:noProof/>
                <w:webHidden/>
              </w:rPr>
            </w:r>
            <w:r w:rsidR="00C743DF">
              <w:rPr>
                <w:noProof/>
                <w:webHidden/>
              </w:rPr>
              <w:fldChar w:fldCharType="separate"/>
            </w:r>
            <w:r w:rsidR="00C743DF">
              <w:rPr>
                <w:noProof/>
                <w:webHidden/>
              </w:rPr>
              <w:t>15</w:t>
            </w:r>
            <w:r w:rsidR="00C743DF">
              <w:rPr>
                <w:noProof/>
                <w:webHidden/>
              </w:rPr>
              <w:fldChar w:fldCharType="end"/>
            </w:r>
          </w:hyperlink>
        </w:p>
        <w:p w14:paraId="3D38C963" w14:textId="12E80DB6" w:rsidR="00C743DF" w:rsidRDefault="00267716">
          <w:pPr>
            <w:pStyle w:val="Turinys3"/>
            <w:tabs>
              <w:tab w:val="right" w:leader="dot" w:pos="9628"/>
            </w:tabs>
            <w:rPr>
              <w:rFonts w:eastAsiaTheme="minorEastAsia"/>
              <w:noProof/>
              <w:lang w:eastAsia="lt-LT"/>
            </w:rPr>
          </w:pPr>
          <w:hyperlink w:anchor="_Toc52184434" w:history="1">
            <w:r w:rsidR="00C743DF" w:rsidRPr="00EC0027">
              <w:rPr>
                <w:rStyle w:val="Hipersaitas"/>
                <w:rFonts w:eastAsia="Calibri" w:cstheme="minorHAnsi"/>
                <w:bCs/>
                <w:iCs/>
                <w:noProof/>
              </w:rPr>
              <w:t>Dėl paslaugų tiekėjo pareigos saugoti išankstinio mokėjimo mobiliųjų telefonų SIM kortelių naudotojų asmens duomenis ir pateikti juos valdžios institucijoms</w:t>
            </w:r>
            <w:r w:rsidR="00C743DF">
              <w:rPr>
                <w:noProof/>
                <w:webHidden/>
              </w:rPr>
              <w:tab/>
            </w:r>
            <w:r w:rsidR="00C743DF">
              <w:rPr>
                <w:noProof/>
                <w:webHidden/>
              </w:rPr>
              <w:fldChar w:fldCharType="begin"/>
            </w:r>
            <w:r w:rsidR="00C743DF">
              <w:rPr>
                <w:noProof/>
                <w:webHidden/>
              </w:rPr>
              <w:instrText xml:space="preserve"> PAGEREF _Toc52184434 \h </w:instrText>
            </w:r>
            <w:r w:rsidR="00C743DF">
              <w:rPr>
                <w:noProof/>
                <w:webHidden/>
              </w:rPr>
            </w:r>
            <w:r w:rsidR="00C743DF">
              <w:rPr>
                <w:noProof/>
                <w:webHidden/>
              </w:rPr>
              <w:fldChar w:fldCharType="separate"/>
            </w:r>
            <w:r w:rsidR="00C743DF">
              <w:rPr>
                <w:noProof/>
                <w:webHidden/>
              </w:rPr>
              <w:t>15</w:t>
            </w:r>
            <w:r w:rsidR="00C743DF">
              <w:rPr>
                <w:noProof/>
                <w:webHidden/>
              </w:rPr>
              <w:fldChar w:fldCharType="end"/>
            </w:r>
          </w:hyperlink>
        </w:p>
        <w:p w14:paraId="4692BB66" w14:textId="55E76714" w:rsidR="00C743DF" w:rsidRDefault="00267716">
          <w:pPr>
            <w:pStyle w:val="Turinys2"/>
            <w:tabs>
              <w:tab w:val="right" w:leader="dot" w:pos="9628"/>
            </w:tabs>
            <w:rPr>
              <w:rFonts w:eastAsiaTheme="minorEastAsia"/>
              <w:noProof/>
              <w:lang w:eastAsia="lt-LT"/>
            </w:rPr>
          </w:pPr>
          <w:hyperlink w:anchor="_Toc52184435" w:history="1">
            <w:r w:rsidR="00C743DF" w:rsidRPr="00EC0027">
              <w:rPr>
                <w:rStyle w:val="Hipersaitas"/>
                <w:i/>
                <w:noProof/>
              </w:rPr>
              <w:t>Platini prieš Šveicariją</w:t>
            </w:r>
            <w:r w:rsidR="00C743DF">
              <w:rPr>
                <w:noProof/>
                <w:webHidden/>
              </w:rPr>
              <w:tab/>
            </w:r>
            <w:r w:rsidR="00C743DF">
              <w:rPr>
                <w:noProof/>
                <w:webHidden/>
              </w:rPr>
              <w:fldChar w:fldCharType="begin"/>
            </w:r>
            <w:r w:rsidR="00C743DF">
              <w:rPr>
                <w:noProof/>
                <w:webHidden/>
              </w:rPr>
              <w:instrText xml:space="preserve"> PAGEREF _Toc52184435 \h </w:instrText>
            </w:r>
            <w:r w:rsidR="00C743DF">
              <w:rPr>
                <w:noProof/>
                <w:webHidden/>
              </w:rPr>
            </w:r>
            <w:r w:rsidR="00C743DF">
              <w:rPr>
                <w:noProof/>
                <w:webHidden/>
              </w:rPr>
              <w:fldChar w:fldCharType="separate"/>
            </w:r>
            <w:r w:rsidR="00C743DF">
              <w:rPr>
                <w:noProof/>
                <w:webHidden/>
              </w:rPr>
              <w:t>17</w:t>
            </w:r>
            <w:r w:rsidR="00C743DF">
              <w:rPr>
                <w:noProof/>
                <w:webHidden/>
              </w:rPr>
              <w:fldChar w:fldCharType="end"/>
            </w:r>
          </w:hyperlink>
        </w:p>
        <w:p w14:paraId="062C0922" w14:textId="45141052" w:rsidR="00C743DF" w:rsidRDefault="00267716">
          <w:pPr>
            <w:pStyle w:val="Turinys3"/>
            <w:tabs>
              <w:tab w:val="right" w:leader="dot" w:pos="9628"/>
            </w:tabs>
            <w:rPr>
              <w:rFonts w:eastAsiaTheme="minorEastAsia"/>
              <w:noProof/>
              <w:lang w:eastAsia="lt-LT"/>
            </w:rPr>
          </w:pPr>
          <w:hyperlink w:anchor="_Toc52184436" w:history="1">
            <w:r w:rsidR="00C743DF" w:rsidRPr="00EC0027">
              <w:rPr>
                <w:rStyle w:val="Hipersaitas"/>
                <w:noProof/>
              </w:rPr>
              <w:t>Dėl arbitražo sprendimo, sprendžiant dėl nušalinimo profesionalaus sporto kontekste, užtikrinant pakankamus institucinius ir procedūrinius saugiklius</w:t>
            </w:r>
            <w:r w:rsidR="00C743DF">
              <w:rPr>
                <w:noProof/>
                <w:webHidden/>
              </w:rPr>
              <w:tab/>
            </w:r>
            <w:r w:rsidR="00C743DF">
              <w:rPr>
                <w:noProof/>
                <w:webHidden/>
              </w:rPr>
              <w:fldChar w:fldCharType="begin"/>
            </w:r>
            <w:r w:rsidR="00C743DF">
              <w:rPr>
                <w:noProof/>
                <w:webHidden/>
              </w:rPr>
              <w:instrText xml:space="preserve"> PAGEREF _Toc52184436 \h </w:instrText>
            </w:r>
            <w:r w:rsidR="00C743DF">
              <w:rPr>
                <w:noProof/>
                <w:webHidden/>
              </w:rPr>
            </w:r>
            <w:r w:rsidR="00C743DF">
              <w:rPr>
                <w:noProof/>
                <w:webHidden/>
              </w:rPr>
              <w:fldChar w:fldCharType="separate"/>
            </w:r>
            <w:r w:rsidR="00C743DF">
              <w:rPr>
                <w:noProof/>
                <w:webHidden/>
              </w:rPr>
              <w:t>17</w:t>
            </w:r>
            <w:r w:rsidR="00C743DF">
              <w:rPr>
                <w:noProof/>
                <w:webHidden/>
              </w:rPr>
              <w:fldChar w:fldCharType="end"/>
            </w:r>
          </w:hyperlink>
        </w:p>
        <w:p w14:paraId="6266FEFE" w14:textId="358D4C6A" w:rsidR="00C743DF" w:rsidRDefault="00267716">
          <w:pPr>
            <w:pStyle w:val="Turinys2"/>
            <w:tabs>
              <w:tab w:val="right" w:leader="dot" w:pos="9628"/>
            </w:tabs>
            <w:rPr>
              <w:rFonts w:eastAsiaTheme="minorEastAsia"/>
              <w:noProof/>
              <w:lang w:eastAsia="lt-LT"/>
            </w:rPr>
          </w:pPr>
          <w:hyperlink w:anchor="_Toc52184437" w:history="1">
            <w:r w:rsidR="00C743DF" w:rsidRPr="00EC0027">
              <w:rPr>
                <w:rStyle w:val="Hipersaitas"/>
                <w:rFonts w:eastAsia="Calibri" w:cstheme="minorHAnsi"/>
                <w:i/>
                <w:noProof/>
              </w:rPr>
              <w:t>Gaughran prieš Jungtinę Karalystę</w:t>
            </w:r>
            <w:r w:rsidR="00C743DF">
              <w:rPr>
                <w:noProof/>
                <w:webHidden/>
              </w:rPr>
              <w:tab/>
            </w:r>
            <w:r w:rsidR="00C743DF">
              <w:rPr>
                <w:noProof/>
                <w:webHidden/>
              </w:rPr>
              <w:fldChar w:fldCharType="begin"/>
            </w:r>
            <w:r w:rsidR="00C743DF">
              <w:rPr>
                <w:noProof/>
                <w:webHidden/>
              </w:rPr>
              <w:instrText xml:space="preserve"> PAGEREF _Toc52184437 \h </w:instrText>
            </w:r>
            <w:r w:rsidR="00C743DF">
              <w:rPr>
                <w:noProof/>
                <w:webHidden/>
              </w:rPr>
            </w:r>
            <w:r w:rsidR="00C743DF">
              <w:rPr>
                <w:noProof/>
                <w:webHidden/>
              </w:rPr>
              <w:fldChar w:fldCharType="separate"/>
            </w:r>
            <w:r w:rsidR="00C743DF">
              <w:rPr>
                <w:noProof/>
                <w:webHidden/>
              </w:rPr>
              <w:t>18</w:t>
            </w:r>
            <w:r w:rsidR="00C743DF">
              <w:rPr>
                <w:noProof/>
                <w:webHidden/>
              </w:rPr>
              <w:fldChar w:fldCharType="end"/>
            </w:r>
          </w:hyperlink>
        </w:p>
        <w:p w14:paraId="24514578" w14:textId="6131E58D" w:rsidR="00C743DF" w:rsidRDefault="00267716">
          <w:pPr>
            <w:pStyle w:val="Turinys3"/>
            <w:tabs>
              <w:tab w:val="right" w:leader="dot" w:pos="9628"/>
            </w:tabs>
            <w:rPr>
              <w:rFonts w:eastAsiaTheme="minorEastAsia"/>
              <w:noProof/>
              <w:lang w:eastAsia="lt-LT"/>
            </w:rPr>
          </w:pPr>
          <w:hyperlink w:anchor="_Toc52184438" w:history="1">
            <w:r w:rsidR="00C743DF" w:rsidRPr="00EC0027">
              <w:rPr>
                <w:rStyle w:val="Hipersaitas"/>
                <w:rFonts w:eastAsia="Calibri" w:cstheme="minorHAnsi"/>
                <w:bCs/>
                <w:iCs/>
                <w:noProof/>
              </w:rPr>
              <w:t>Dėl proporcingumo principo pažeidimo neterminuotai saugant asmens, nuteisto už nesunkią nusikalstamą veiką, biometrinius duomenis</w:t>
            </w:r>
            <w:r w:rsidR="00EF29E1">
              <w:rPr>
                <w:rStyle w:val="Hipersaitas"/>
                <w:rFonts w:eastAsia="Calibri" w:cstheme="minorHAnsi"/>
                <w:bCs/>
                <w:iCs/>
                <w:noProof/>
              </w:rPr>
              <w:t>,</w:t>
            </w:r>
            <w:r w:rsidR="00C743DF" w:rsidRPr="00EC0027">
              <w:rPr>
                <w:rStyle w:val="Hipersaitas"/>
                <w:rFonts w:eastAsia="Calibri" w:cstheme="minorHAnsi"/>
                <w:bCs/>
                <w:iCs/>
                <w:noProof/>
              </w:rPr>
              <w:t xml:space="preserve"> nesant realios galimybės peržiūrėti šių duomenų saugojimo reikalingumą</w:t>
            </w:r>
            <w:r w:rsidR="00C743DF">
              <w:rPr>
                <w:noProof/>
                <w:webHidden/>
              </w:rPr>
              <w:tab/>
            </w:r>
            <w:r w:rsidR="00C743DF">
              <w:rPr>
                <w:noProof/>
                <w:webHidden/>
              </w:rPr>
              <w:fldChar w:fldCharType="begin"/>
            </w:r>
            <w:r w:rsidR="00C743DF">
              <w:rPr>
                <w:noProof/>
                <w:webHidden/>
              </w:rPr>
              <w:instrText xml:space="preserve"> PAGEREF _Toc52184438 \h </w:instrText>
            </w:r>
            <w:r w:rsidR="00C743DF">
              <w:rPr>
                <w:noProof/>
                <w:webHidden/>
              </w:rPr>
            </w:r>
            <w:r w:rsidR="00C743DF">
              <w:rPr>
                <w:noProof/>
                <w:webHidden/>
              </w:rPr>
              <w:fldChar w:fldCharType="separate"/>
            </w:r>
            <w:r w:rsidR="00C743DF">
              <w:rPr>
                <w:noProof/>
                <w:webHidden/>
              </w:rPr>
              <w:t>18</w:t>
            </w:r>
            <w:r w:rsidR="00C743DF">
              <w:rPr>
                <w:noProof/>
                <w:webHidden/>
              </w:rPr>
              <w:fldChar w:fldCharType="end"/>
            </w:r>
          </w:hyperlink>
        </w:p>
        <w:p w14:paraId="5CE2D559" w14:textId="7BFBABD1" w:rsidR="00C743DF" w:rsidRDefault="00267716">
          <w:pPr>
            <w:pStyle w:val="Turinys2"/>
            <w:tabs>
              <w:tab w:val="right" w:leader="dot" w:pos="9628"/>
            </w:tabs>
            <w:rPr>
              <w:rFonts w:eastAsiaTheme="minorEastAsia"/>
              <w:noProof/>
              <w:lang w:eastAsia="lt-LT"/>
            </w:rPr>
          </w:pPr>
          <w:hyperlink w:anchor="_Toc52184439" w:history="1">
            <w:r w:rsidR="00C743DF" w:rsidRPr="00EC0027">
              <w:rPr>
                <w:rStyle w:val="Hipersaitas"/>
                <w:i/>
                <w:noProof/>
              </w:rPr>
              <w:t>Convertito ir kiti prieš Rumuniją</w:t>
            </w:r>
            <w:r w:rsidR="00C743DF">
              <w:rPr>
                <w:noProof/>
                <w:webHidden/>
              </w:rPr>
              <w:tab/>
            </w:r>
            <w:r w:rsidR="00C743DF">
              <w:rPr>
                <w:noProof/>
                <w:webHidden/>
              </w:rPr>
              <w:fldChar w:fldCharType="begin"/>
            </w:r>
            <w:r w:rsidR="00C743DF">
              <w:rPr>
                <w:noProof/>
                <w:webHidden/>
              </w:rPr>
              <w:instrText xml:space="preserve"> PAGEREF _Toc52184439 \h </w:instrText>
            </w:r>
            <w:r w:rsidR="00C743DF">
              <w:rPr>
                <w:noProof/>
                <w:webHidden/>
              </w:rPr>
            </w:r>
            <w:r w:rsidR="00C743DF">
              <w:rPr>
                <w:noProof/>
                <w:webHidden/>
              </w:rPr>
              <w:fldChar w:fldCharType="separate"/>
            </w:r>
            <w:r w:rsidR="00C743DF">
              <w:rPr>
                <w:noProof/>
                <w:webHidden/>
              </w:rPr>
              <w:t>19</w:t>
            </w:r>
            <w:r w:rsidR="00C743DF">
              <w:rPr>
                <w:noProof/>
                <w:webHidden/>
              </w:rPr>
              <w:fldChar w:fldCharType="end"/>
            </w:r>
          </w:hyperlink>
        </w:p>
        <w:p w14:paraId="051F9F7C" w14:textId="09B9D5B8" w:rsidR="00C743DF" w:rsidRDefault="00267716">
          <w:pPr>
            <w:pStyle w:val="Turinys3"/>
            <w:tabs>
              <w:tab w:val="right" w:leader="dot" w:pos="9628"/>
            </w:tabs>
            <w:rPr>
              <w:rFonts w:eastAsiaTheme="minorEastAsia"/>
              <w:noProof/>
              <w:lang w:eastAsia="lt-LT"/>
            </w:rPr>
          </w:pPr>
          <w:hyperlink w:anchor="_Toc52184440" w:history="1">
            <w:r w:rsidR="00C743DF" w:rsidRPr="00EC0027">
              <w:rPr>
                <w:rStyle w:val="Hipersaitas"/>
                <w:noProof/>
              </w:rPr>
              <w:t>Dėl valstybės išduotų diplomų anuliavimo, nustačius administracinio pobūdžio neatitikimus registravimosi procedūroje pirmaisiais studijų metais</w:t>
            </w:r>
            <w:r w:rsidR="00C743DF">
              <w:rPr>
                <w:noProof/>
                <w:webHidden/>
              </w:rPr>
              <w:tab/>
            </w:r>
            <w:r w:rsidR="00C743DF">
              <w:rPr>
                <w:noProof/>
                <w:webHidden/>
              </w:rPr>
              <w:fldChar w:fldCharType="begin"/>
            </w:r>
            <w:r w:rsidR="00C743DF">
              <w:rPr>
                <w:noProof/>
                <w:webHidden/>
              </w:rPr>
              <w:instrText xml:space="preserve"> PAGEREF _Toc52184440 \h </w:instrText>
            </w:r>
            <w:r w:rsidR="00C743DF">
              <w:rPr>
                <w:noProof/>
                <w:webHidden/>
              </w:rPr>
            </w:r>
            <w:r w:rsidR="00C743DF">
              <w:rPr>
                <w:noProof/>
                <w:webHidden/>
              </w:rPr>
              <w:fldChar w:fldCharType="separate"/>
            </w:r>
            <w:r w:rsidR="00C743DF">
              <w:rPr>
                <w:noProof/>
                <w:webHidden/>
              </w:rPr>
              <w:t>19</w:t>
            </w:r>
            <w:r w:rsidR="00C743DF">
              <w:rPr>
                <w:noProof/>
                <w:webHidden/>
              </w:rPr>
              <w:fldChar w:fldCharType="end"/>
            </w:r>
          </w:hyperlink>
        </w:p>
        <w:p w14:paraId="29361DF5" w14:textId="4632B9C7" w:rsidR="00C743DF" w:rsidRDefault="00267716">
          <w:pPr>
            <w:pStyle w:val="Turinys1"/>
            <w:rPr>
              <w:rFonts w:eastAsiaTheme="minorEastAsia"/>
              <w:color w:val="auto"/>
              <w:lang w:eastAsia="lt-LT"/>
            </w:rPr>
          </w:pPr>
          <w:hyperlink w:anchor="_Toc52184441" w:history="1">
            <w:r w:rsidR="00C743DF" w:rsidRPr="00EC0027">
              <w:rPr>
                <w:rStyle w:val="Hipersaitas"/>
                <w:rFonts w:eastAsia="Times New Roman"/>
              </w:rPr>
              <w:t>MINTIES, SĄŽINĖS IR RELIGIJOS LAISVĖ (9 straipsnis)</w:t>
            </w:r>
            <w:r w:rsidR="00C743DF">
              <w:rPr>
                <w:webHidden/>
              </w:rPr>
              <w:tab/>
            </w:r>
            <w:r w:rsidR="00C743DF">
              <w:rPr>
                <w:webHidden/>
              </w:rPr>
              <w:fldChar w:fldCharType="begin"/>
            </w:r>
            <w:r w:rsidR="00C743DF">
              <w:rPr>
                <w:webHidden/>
              </w:rPr>
              <w:instrText xml:space="preserve"> PAGEREF _Toc52184441 \h </w:instrText>
            </w:r>
            <w:r w:rsidR="00C743DF">
              <w:rPr>
                <w:webHidden/>
              </w:rPr>
            </w:r>
            <w:r w:rsidR="00C743DF">
              <w:rPr>
                <w:webHidden/>
              </w:rPr>
              <w:fldChar w:fldCharType="separate"/>
            </w:r>
            <w:r w:rsidR="00C743DF">
              <w:rPr>
                <w:webHidden/>
              </w:rPr>
              <w:t>20</w:t>
            </w:r>
            <w:r w:rsidR="00C743DF">
              <w:rPr>
                <w:webHidden/>
              </w:rPr>
              <w:fldChar w:fldCharType="end"/>
            </w:r>
          </w:hyperlink>
        </w:p>
        <w:p w14:paraId="1C28058A" w14:textId="340B5F46" w:rsidR="00C743DF" w:rsidRDefault="00267716">
          <w:pPr>
            <w:pStyle w:val="Turinys2"/>
            <w:tabs>
              <w:tab w:val="right" w:leader="dot" w:pos="9628"/>
            </w:tabs>
            <w:rPr>
              <w:rFonts w:eastAsiaTheme="minorEastAsia"/>
              <w:noProof/>
              <w:lang w:eastAsia="lt-LT"/>
            </w:rPr>
          </w:pPr>
          <w:hyperlink w:anchor="_Toc52184442" w:history="1">
            <w:r w:rsidR="00C743DF" w:rsidRPr="00EC0027">
              <w:rPr>
                <w:rStyle w:val="Hipersaitas"/>
                <w:rFonts w:eastAsia="Calibri" w:cstheme="minorHAnsi"/>
                <w:i/>
                <w:noProof/>
              </w:rPr>
              <w:t>Korostelev prieš Rusiją</w:t>
            </w:r>
            <w:r w:rsidR="00C743DF">
              <w:rPr>
                <w:noProof/>
                <w:webHidden/>
              </w:rPr>
              <w:tab/>
            </w:r>
            <w:r w:rsidR="00C743DF">
              <w:rPr>
                <w:noProof/>
                <w:webHidden/>
              </w:rPr>
              <w:fldChar w:fldCharType="begin"/>
            </w:r>
            <w:r w:rsidR="00C743DF">
              <w:rPr>
                <w:noProof/>
                <w:webHidden/>
              </w:rPr>
              <w:instrText xml:space="preserve"> PAGEREF _Toc52184442 \h </w:instrText>
            </w:r>
            <w:r w:rsidR="00C743DF">
              <w:rPr>
                <w:noProof/>
                <w:webHidden/>
              </w:rPr>
            </w:r>
            <w:r w:rsidR="00C743DF">
              <w:rPr>
                <w:noProof/>
                <w:webHidden/>
              </w:rPr>
              <w:fldChar w:fldCharType="separate"/>
            </w:r>
            <w:r w:rsidR="00C743DF">
              <w:rPr>
                <w:noProof/>
                <w:webHidden/>
              </w:rPr>
              <w:t>20</w:t>
            </w:r>
            <w:r w:rsidR="00C743DF">
              <w:rPr>
                <w:noProof/>
                <w:webHidden/>
              </w:rPr>
              <w:fldChar w:fldCharType="end"/>
            </w:r>
          </w:hyperlink>
        </w:p>
        <w:p w14:paraId="46694830" w14:textId="14C2D1A0" w:rsidR="00C743DF" w:rsidRDefault="00267716">
          <w:pPr>
            <w:pStyle w:val="Turinys3"/>
            <w:tabs>
              <w:tab w:val="right" w:leader="dot" w:pos="9628"/>
            </w:tabs>
            <w:rPr>
              <w:rFonts w:eastAsiaTheme="minorEastAsia"/>
              <w:noProof/>
              <w:lang w:eastAsia="lt-LT"/>
            </w:rPr>
          </w:pPr>
          <w:hyperlink w:anchor="_Toc52184443" w:history="1">
            <w:r w:rsidR="00C743DF" w:rsidRPr="00EC0027">
              <w:rPr>
                <w:rStyle w:val="Hipersaitas"/>
                <w:rFonts w:eastAsia="Calibri" w:cstheme="minorHAnsi"/>
                <w:bCs/>
                <w:iCs/>
                <w:noProof/>
              </w:rPr>
              <w:t>Dėl kalinio nubaudimo už tai, kad jis, pažeisdamas kalėjimo grafiką, meldėsi naktį</w:t>
            </w:r>
            <w:r w:rsidR="00C743DF">
              <w:rPr>
                <w:noProof/>
                <w:webHidden/>
              </w:rPr>
              <w:tab/>
            </w:r>
            <w:r w:rsidR="00C743DF">
              <w:rPr>
                <w:noProof/>
                <w:webHidden/>
              </w:rPr>
              <w:fldChar w:fldCharType="begin"/>
            </w:r>
            <w:r w:rsidR="00C743DF">
              <w:rPr>
                <w:noProof/>
                <w:webHidden/>
              </w:rPr>
              <w:instrText xml:space="preserve"> PAGEREF _Toc52184443 \h </w:instrText>
            </w:r>
            <w:r w:rsidR="00C743DF">
              <w:rPr>
                <w:noProof/>
                <w:webHidden/>
              </w:rPr>
            </w:r>
            <w:r w:rsidR="00C743DF">
              <w:rPr>
                <w:noProof/>
                <w:webHidden/>
              </w:rPr>
              <w:fldChar w:fldCharType="separate"/>
            </w:r>
            <w:r w:rsidR="00C743DF">
              <w:rPr>
                <w:noProof/>
                <w:webHidden/>
              </w:rPr>
              <w:t>21</w:t>
            </w:r>
            <w:r w:rsidR="00C743DF">
              <w:rPr>
                <w:noProof/>
                <w:webHidden/>
              </w:rPr>
              <w:fldChar w:fldCharType="end"/>
            </w:r>
          </w:hyperlink>
        </w:p>
        <w:p w14:paraId="50033719" w14:textId="53AA27B2" w:rsidR="00C743DF" w:rsidRDefault="00267716">
          <w:pPr>
            <w:pStyle w:val="Turinys1"/>
            <w:rPr>
              <w:rFonts w:eastAsiaTheme="minorEastAsia"/>
              <w:color w:val="auto"/>
              <w:lang w:eastAsia="lt-LT"/>
            </w:rPr>
          </w:pPr>
          <w:hyperlink w:anchor="_Toc52184444" w:history="1">
            <w:r w:rsidR="00C743DF" w:rsidRPr="00EC0027">
              <w:rPr>
                <w:rStyle w:val="Hipersaitas"/>
                <w:rFonts w:eastAsia="Times New Roman"/>
              </w:rPr>
              <w:t>SAVIRAIŠKOS LAISVĖ (10 straipsnis)</w:t>
            </w:r>
            <w:r w:rsidR="00C743DF">
              <w:rPr>
                <w:webHidden/>
              </w:rPr>
              <w:tab/>
            </w:r>
            <w:r w:rsidR="00C743DF">
              <w:rPr>
                <w:webHidden/>
              </w:rPr>
              <w:fldChar w:fldCharType="begin"/>
            </w:r>
            <w:r w:rsidR="00C743DF">
              <w:rPr>
                <w:webHidden/>
              </w:rPr>
              <w:instrText xml:space="preserve"> PAGEREF _Toc52184444 \h </w:instrText>
            </w:r>
            <w:r w:rsidR="00C743DF">
              <w:rPr>
                <w:webHidden/>
              </w:rPr>
            </w:r>
            <w:r w:rsidR="00C743DF">
              <w:rPr>
                <w:webHidden/>
              </w:rPr>
              <w:fldChar w:fldCharType="separate"/>
            </w:r>
            <w:r w:rsidR="00C743DF">
              <w:rPr>
                <w:webHidden/>
              </w:rPr>
              <w:t>22</w:t>
            </w:r>
            <w:r w:rsidR="00C743DF">
              <w:rPr>
                <w:webHidden/>
              </w:rPr>
              <w:fldChar w:fldCharType="end"/>
            </w:r>
          </w:hyperlink>
        </w:p>
        <w:p w14:paraId="266595DF" w14:textId="4C6455C0" w:rsidR="00C743DF" w:rsidRDefault="00267716">
          <w:pPr>
            <w:pStyle w:val="Turinys2"/>
            <w:tabs>
              <w:tab w:val="right" w:leader="dot" w:pos="9628"/>
            </w:tabs>
            <w:rPr>
              <w:rFonts w:eastAsiaTheme="minorEastAsia"/>
              <w:noProof/>
              <w:lang w:eastAsia="lt-LT"/>
            </w:rPr>
          </w:pPr>
          <w:hyperlink w:anchor="_Toc52184445" w:history="1">
            <w:r w:rsidR="00C743DF" w:rsidRPr="00EC0027">
              <w:rPr>
                <w:rStyle w:val="Hipersaitas"/>
                <w:i/>
                <w:noProof/>
              </w:rPr>
              <w:t>Magyar Kétfarkú Kutya Párt prieš Vengriją</w:t>
            </w:r>
            <w:r w:rsidR="00C743DF">
              <w:rPr>
                <w:noProof/>
                <w:webHidden/>
              </w:rPr>
              <w:tab/>
            </w:r>
            <w:r w:rsidR="00C743DF">
              <w:rPr>
                <w:noProof/>
                <w:webHidden/>
              </w:rPr>
              <w:fldChar w:fldCharType="begin"/>
            </w:r>
            <w:r w:rsidR="00C743DF">
              <w:rPr>
                <w:noProof/>
                <w:webHidden/>
              </w:rPr>
              <w:instrText xml:space="preserve"> PAGEREF _Toc52184445 \h </w:instrText>
            </w:r>
            <w:r w:rsidR="00C743DF">
              <w:rPr>
                <w:noProof/>
                <w:webHidden/>
              </w:rPr>
            </w:r>
            <w:r w:rsidR="00C743DF">
              <w:rPr>
                <w:noProof/>
                <w:webHidden/>
              </w:rPr>
              <w:fldChar w:fldCharType="separate"/>
            </w:r>
            <w:r w:rsidR="00C743DF">
              <w:rPr>
                <w:noProof/>
                <w:webHidden/>
              </w:rPr>
              <w:t>22</w:t>
            </w:r>
            <w:r w:rsidR="00C743DF">
              <w:rPr>
                <w:noProof/>
                <w:webHidden/>
              </w:rPr>
              <w:fldChar w:fldCharType="end"/>
            </w:r>
          </w:hyperlink>
        </w:p>
        <w:p w14:paraId="2233530C" w14:textId="02BF12B6" w:rsidR="00C743DF" w:rsidRDefault="00267716">
          <w:pPr>
            <w:pStyle w:val="Turinys3"/>
            <w:tabs>
              <w:tab w:val="right" w:leader="dot" w:pos="9628"/>
            </w:tabs>
            <w:rPr>
              <w:rFonts w:eastAsiaTheme="minorEastAsia"/>
              <w:noProof/>
              <w:lang w:eastAsia="lt-LT"/>
            </w:rPr>
          </w:pPr>
          <w:hyperlink w:anchor="_Toc52184446" w:history="1">
            <w:r w:rsidR="00C743DF" w:rsidRPr="00EC0027">
              <w:rPr>
                <w:rStyle w:val="Hipersaitas"/>
                <w:noProof/>
              </w:rPr>
              <w:t>Dėl nepakankamo teisinio reguliavimo skiriant baudą politinei partijai už mobiliosios programėlės, leidžiančios balsavimo dalyviams anonimiškai dalintis biuletenio nuotraukomis, prieinamumą</w:t>
            </w:r>
            <w:r w:rsidR="00C743DF">
              <w:rPr>
                <w:noProof/>
                <w:webHidden/>
              </w:rPr>
              <w:tab/>
            </w:r>
            <w:r w:rsidR="00C743DF">
              <w:rPr>
                <w:noProof/>
                <w:webHidden/>
              </w:rPr>
              <w:fldChar w:fldCharType="begin"/>
            </w:r>
            <w:r w:rsidR="00C743DF">
              <w:rPr>
                <w:noProof/>
                <w:webHidden/>
              </w:rPr>
              <w:instrText xml:space="preserve"> PAGEREF _Toc52184446 \h </w:instrText>
            </w:r>
            <w:r w:rsidR="00C743DF">
              <w:rPr>
                <w:noProof/>
                <w:webHidden/>
              </w:rPr>
            </w:r>
            <w:r w:rsidR="00C743DF">
              <w:rPr>
                <w:noProof/>
                <w:webHidden/>
              </w:rPr>
              <w:fldChar w:fldCharType="separate"/>
            </w:r>
            <w:r w:rsidR="00C743DF">
              <w:rPr>
                <w:noProof/>
                <w:webHidden/>
              </w:rPr>
              <w:t>22</w:t>
            </w:r>
            <w:r w:rsidR="00C743DF">
              <w:rPr>
                <w:noProof/>
                <w:webHidden/>
              </w:rPr>
              <w:fldChar w:fldCharType="end"/>
            </w:r>
          </w:hyperlink>
        </w:p>
        <w:p w14:paraId="2605AE54" w14:textId="64C580B6" w:rsidR="00C743DF" w:rsidRDefault="00267716">
          <w:pPr>
            <w:pStyle w:val="Turinys2"/>
            <w:tabs>
              <w:tab w:val="right" w:leader="dot" w:pos="9628"/>
            </w:tabs>
            <w:rPr>
              <w:rFonts w:eastAsiaTheme="minorEastAsia"/>
              <w:noProof/>
              <w:lang w:eastAsia="lt-LT"/>
            </w:rPr>
          </w:pPr>
          <w:hyperlink w:anchor="_Toc52184447" w:history="1">
            <w:r w:rsidR="00C743DF" w:rsidRPr="00EC0027">
              <w:rPr>
                <w:rStyle w:val="Hipersaitas"/>
                <w:rFonts w:eastAsia="Calibri" w:cstheme="minorHAnsi"/>
                <w:i/>
                <w:noProof/>
              </w:rPr>
              <w:t>Studio Monitori and Others prieš Gruziją</w:t>
            </w:r>
            <w:r w:rsidR="00C743DF">
              <w:rPr>
                <w:noProof/>
                <w:webHidden/>
              </w:rPr>
              <w:tab/>
            </w:r>
            <w:r w:rsidR="00C743DF">
              <w:rPr>
                <w:noProof/>
                <w:webHidden/>
              </w:rPr>
              <w:fldChar w:fldCharType="begin"/>
            </w:r>
            <w:r w:rsidR="00C743DF">
              <w:rPr>
                <w:noProof/>
                <w:webHidden/>
              </w:rPr>
              <w:instrText xml:space="preserve"> PAGEREF _Toc52184447 \h </w:instrText>
            </w:r>
            <w:r w:rsidR="00C743DF">
              <w:rPr>
                <w:noProof/>
                <w:webHidden/>
              </w:rPr>
            </w:r>
            <w:r w:rsidR="00C743DF">
              <w:rPr>
                <w:noProof/>
                <w:webHidden/>
              </w:rPr>
              <w:fldChar w:fldCharType="separate"/>
            </w:r>
            <w:r w:rsidR="00C743DF">
              <w:rPr>
                <w:noProof/>
                <w:webHidden/>
              </w:rPr>
              <w:t>23</w:t>
            </w:r>
            <w:r w:rsidR="00C743DF">
              <w:rPr>
                <w:noProof/>
                <w:webHidden/>
              </w:rPr>
              <w:fldChar w:fldCharType="end"/>
            </w:r>
          </w:hyperlink>
        </w:p>
        <w:p w14:paraId="42FDA47B" w14:textId="7840BA1A" w:rsidR="00C743DF" w:rsidRDefault="00267716">
          <w:pPr>
            <w:pStyle w:val="Turinys3"/>
            <w:tabs>
              <w:tab w:val="right" w:leader="dot" w:pos="9628"/>
            </w:tabs>
            <w:rPr>
              <w:rFonts w:eastAsiaTheme="minorEastAsia"/>
              <w:noProof/>
              <w:lang w:eastAsia="lt-LT"/>
            </w:rPr>
          </w:pPr>
          <w:hyperlink w:anchor="_Toc52184448" w:history="1">
            <w:r w:rsidR="00C743DF" w:rsidRPr="00EC0027">
              <w:rPr>
                <w:rStyle w:val="Hipersaitas"/>
                <w:rFonts w:eastAsia="Calibri" w:cstheme="minorHAnsi"/>
                <w:bCs/>
                <w:iCs/>
                <w:noProof/>
              </w:rPr>
              <w:t>Dėl teismo teisės atmesti nemotyvuotus pareiškėjų prašymus susipažinti su nesusijusių trečiųjų asmenų baudžiamosios bylomis, nepripažįstant t</w:t>
            </w:r>
            <w:r w:rsidR="00512C17">
              <w:rPr>
                <w:rStyle w:val="Hipersaitas"/>
                <w:rFonts w:eastAsia="Calibri" w:cstheme="minorHAnsi"/>
                <w:bCs/>
                <w:iCs/>
                <w:noProof/>
              </w:rPr>
              <w:t>o</w:t>
            </w:r>
            <w:r w:rsidR="00C743DF" w:rsidRPr="00EC0027">
              <w:rPr>
                <w:rStyle w:val="Hipersaitas"/>
                <w:rFonts w:eastAsia="Calibri" w:cstheme="minorHAnsi"/>
                <w:bCs/>
                <w:iCs/>
                <w:noProof/>
              </w:rPr>
              <w:t xml:space="preserve"> saviraiškos laisvės įgyvendinimu</w:t>
            </w:r>
            <w:r w:rsidR="00C743DF">
              <w:rPr>
                <w:noProof/>
                <w:webHidden/>
              </w:rPr>
              <w:tab/>
            </w:r>
            <w:r w:rsidR="00C743DF">
              <w:rPr>
                <w:noProof/>
                <w:webHidden/>
              </w:rPr>
              <w:fldChar w:fldCharType="begin"/>
            </w:r>
            <w:r w:rsidR="00C743DF">
              <w:rPr>
                <w:noProof/>
                <w:webHidden/>
              </w:rPr>
              <w:instrText xml:space="preserve"> PAGEREF _Toc52184448 \h </w:instrText>
            </w:r>
            <w:r w:rsidR="00C743DF">
              <w:rPr>
                <w:noProof/>
                <w:webHidden/>
              </w:rPr>
            </w:r>
            <w:r w:rsidR="00C743DF">
              <w:rPr>
                <w:noProof/>
                <w:webHidden/>
              </w:rPr>
              <w:fldChar w:fldCharType="separate"/>
            </w:r>
            <w:r w:rsidR="00C743DF">
              <w:rPr>
                <w:noProof/>
                <w:webHidden/>
              </w:rPr>
              <w:t>23</w:t>
            </w:r>
            <w:r w:rsidR="00C743DF">
              <w:rPr>
                <w:noProof/>
                <w:webHidden/>
              </w:rPr>
              <w:fldChar w:fldCharType="end"/>
            </w:r>
          </w:hyperlink>
        </w:p>
        <w:p w14:paraId="179BE5F7" w14:textId="3FA195BF" w:rsidR="00C743DF" w:rsidRDefault="00267716">
          <w:pPr>
            <w:pStyle w:val="Turinys2"/>
            <w:tabs>
              <w:tab w:val="right" w:leader="dot" w:pos="9628"/>
            </w:tabs>
            <w:rPr>
              <w:rFonts w:eastAsiaTheme="minorEastAsia"/>
              <w:noProof/>
              <w:lang w:eastAsia="lt-LT"/>
            </w:rPr>
          </w:pPr>
          <w:hyperlink w:anchor="_Toc52184449" w:history="1">
            <w:r w:rsidR="00C743DF" w:rsidRPr="00EC0027">
              <w:rPr>
                <w:rStyle w:val="Hipersaitas"/>
                <w:rFonts w:eastAsia="Calibri" w:cstheme="minorHAnsi"/>
                <w:i/>
                <w:noProof/>
              </w:rPr>
              <w:t>Demokratijos ir teisinės valstybės centras prieš Ukrainą</w:t>
            </w:r>
            <w:r w:rsidR="00C743DF">
              <w:rPr>
                <w:noProof/>
                <w:webHidden/>
              </w:rPr>
              <w:tab/>
            </w:r>
            <w:r w:rsidR="00C743DF">
              <w:rPr>
                <w:noProof/>
                <w:webHidden/>
              </w:rPr>
              <w:fldChar w:fldCharType="begin"/>
            </w:r>
            <w:r w:rsidR="00C743DF">
              <w:rPr>
                <w:noProof/>
                <w:webHidden/>
              </w:rPr>
              <w:instrText xml:space="preserve"> PAGEREF _Toc52184449 \h </w:instrText>
            </w:r>
            <w:r w:rsidR="00C743DF">
              <w:rPr>
                <w:noProof/>
                <w:webHidden/>
              </w:rPr>
            </w:r>
            <w:r w:rsidR="00C743DF">
              <w:rPr>
                <w:noProof/>
                <w:webHidden/>
              </w:rPr>
              <w:fldChar w:fldCharType="separate"/>
            </w:r>
            <w:r w:rsidR="00C743DF">
              <w:rPr>
                <w:noProof/>
                <w:webHidden/>
              </w:rPr>
              <w:t>24</w:t>
            </w:r>
            <w:r w:rsidR="00C743DF">
              <w:rPr>
                <w:noProof/>
                <w:webHidden/>
              </w:rPr>
              <w:fldChar w:fldCharType="end"/>
            </w:r>
          </w:hyperlink>
        </w:p>
        <w:p w14:paraId="52D2020E" w14:textId="15BD9B02" w:rsidR="00C743DF" w:rsidRDefault="00267716">
          <w:pPr>
            <w:pStyle w:val="Turinys3"/>
            <w:tabs>
              <w:tab w:val="right" w:leader="dot" w:pos="9628"/>
            </w:tabs>
            <w:rPr>
              <w:rFonts w:eastAsiaTheme="minorEastAsia"/>
              <w:noProof/>
              <w:lang w:eastAsia="lt-LT"/>
            </w:rPr>
          </w:pPr>
          <w:hyperlink w:anchor="_Toc52184450" w:history="1">
            <w:r w:rsidR="00C743DF" w:rsidRPr="00EC0027">
              <w:rPr>
                <w:rStyle w:val="Hipersaitas"/>
                <w:rFonts w:eastAsia="Calibri" w:cstheme="minorHAnsi"/>
                <w:bCs/>
                <w:iCs/>
                <w:noProof/>
              </w:rPr>
              <w:t>Dėl atsisakymo pateikti nevyriausybinei organizacijai teisinių nuomonių, į kurias atsižvelgta nagrinėjant konstitucinę bylą, kopijas</w:t>
            </w:r>
            <w:r w:rsidR="00C743DF">
              <w:rPr>
                <w:noProof/>
                <w:webHidden/>
              </w:rPr>
              <w:tab/>
            </w:r>
            <w:r w:rsidR="00C743DF">
              <w:rPr>
                <w:noProof/>
                <w:webHidden/>
              </w:rPr>
              <w:fldChar w:fldCharType="begin"/>
            </w:r>
            <w:r w:rsidR="00C743DF">
              <w:rPr>
                <w:noProof/>
                <w:webHidden/>
              </w:rPr>
              <w:instrText xml:space="preserve"> PAGEREF _Toc52184450 \h </w:instrText>
            </w:r>
            <w:r w:rsidR="00C743DF">
              <w:rPr>
                <w:noProof/>
                <w:webHidden/>
              </w:rPr>
            </w:r>
            <w:r w:rsidR="00C743DF">
              <w:rPr>
                <w:noProof/>
                <w:webHidden/>
              </w:rPr>
              <w:fldChar w:fldCharType="separate"/>
            </w:r>
            <w:r w:rsidR="00C743DF">
              <w:rPr>
                <w:noProof/>
                <w:webHidden/>
              </w:rPr>
              <w:t>24</w:t>
            </w:r>
            <w:r w:rsidR="00C743DF">
              <w:rPr>
                <w:noProof/>
                <w:webHidden/>
              </w:rPr>
              <w:fldChar w:fldCharType="end"/>
            </w:r>
          </w:hyperlink>
        </w:p>
        <w:p w14:paraId="5DA5BE4F" w14:textId="18BAEAD4" w:rsidR="00C743DF" w:rsidRDefault="00267716">
          <w:pPr>
            <w:pStyle w:val="Turinys2"/>
            <w:tabs>
              <w:tab w:val="right" w:leader="dot" w:pos="9628"/>
            </w:tabs>
            <w:rPr>
              <w:rFonts w:eastAsiaTheme="minorEastAsia"/>
              <w:noProof/>
              <w:lang w:eastAsia="lt-LT"/>
            </w:rPr>
          </w:pPr>
          <w:hyperlink w:anchor="_Toc52184451" w:history="1">
            <w:r w:rsidR="00C743DF" w:rsidRPr="00EC0027">
              <w:rPr>
                <w:rStyle w:val="Hipersaitas"/>
                <w:rFonts w:eastAsia="Calibri" w:cstheme="minorHAnsi"/>
                <w:i/>
                <w:noProof/>
              </w:rPr>
              <w:t>Demokratijos ir teisinės valstybės centras prieš Ukrainą</w:t>
            </w:r>
            <w:r w:rsidR="00C743DF">
              <w:rPr>
                <w:noProof/>
                <w:webHidden/>
              </w:rPr>
              <w:tab/>
            </w:r>
            <w:r w:rsidR="00C743DF">
              <w:rPr>
                <w:noProof/>
                <w:webHidden/>
              </w:rPr>
              <w:fldChar w:fldCharType="begin"/>
            </w:r>
            <w:r w:rsidR="00C743DF">
              <w:rPr>
                <w:noProof/>
                <w:webHidden/>
              </w:rPr>
              <w:instrText xml:space="preserve"> PAGEREF _Toc52184451 \h </w:instrText>
            </w:r>
            <w:r w:rsidR="00C743DF">
              <w:rPr>
                <w:noProof/>
                <w:webHidden/>
              </w:rPr>
            </w:r>
            <w:r w:rsidR="00C743DF">
              <w:rPr>
                <w:noProof/>
                <w:webHidden/>
              </w:rPr>
              <w:fldChar w:fldCharType="separate"/>
            </w:r>
            <w:r w:rsidR="00C743DF">
              <w:rPr>
                <w:noProof/>
                <w:webHidden/>
              </w:rPr>
              <w:t>25</w:t>
            </w:r>
            <w:r w:rsidR="00C743DF">
              <w:rPr>
                <w:noProof/>
                <w:webHidden/>
              </w:rPr>
              <w:fldChar w:fldCharType="end"/>
            </w:r>
          </w:hyperlink>
        </w:p>
        <w:p w14:paraId="3A82B3C4" w14:textId="17A0F036" w:rsidR="00C743DF" w:rsidRDefault="00267716">
          <w:pPr>
            <w:pStyle w:val="Turinys3"/>
            <w:tabs>
              <w:tab w:val="right" w:leader="dot" w:pos="9628"/>
            </w:tabs>
            <w:rPr>
              <w:rFonts w:eastAsiaTheme="minorEastAsia"/>
              <w:noProof/>
              <w:lang w:eastAsia="lt-LT"/>
            </w:rPr>
          </w:pPr>
          <w:hyperlink w:anchor="_Toc52184452" w:history="1">
            <w:r w:rsidR="00C743DF" w:rsidRPr="00EC0027">
              <w:rPr>
                <w:rStyle w:val="Hipersaitas"/>
                <w:rFonts w:eastAsia="Calibri" w:cstheme="minorHAnsi"/>
                <w:bCs/>
                <w:iCs/>
                <w:noProof/>
              </w:rPr>
              <w:t>Dėl informacijos apie politinių lyderių, dalyvaujančių parlamento rinkimuose, išsilavinimą ir darbinę patirtį nevyriausybinei organizacijai  nesuteikimo</w:t>
            </w:r>
            <w:r w:rsidR="00C743DF">
              <w:rPr>
                <w:noProof/>
                <w:webHidden/>
              </w:rPr>
              <w:tab/>
            </w:r>
            <w:r w:rsidR="00C743DF">
              <w:rPr>
                <w:noProof/>
                <w:webHidden/>
              </w:rPr>
              <w:fldChar w:fldCharType="begin"/>
            </w:r>
            <w:r w:rsidR="00C743DF">
              <w:rPr>
                <w:noProof/>
                <w:webHidden/>
              </w:rPr>
              <w:instrText xml:space="preserve"> PAGEREF _Toc52184452 \h </w:instrText>
            </w:r>
            <w:r w:rsidR="00C743DF">
              <w:rPr>
                <w:noProof/>
                <w:webHidden/>
              </w:rPr>
            </w:r>
            <w:r w:rsidR="00C743DF">
              <w:rPr>
                <w:noProof/>
                <w:webHidden/>
              </w:rPr>
              <w:fldChar w:fldCharType="separate"/>
            </w:r>
            <w:r w:rsidR="00C743DF">
              <w:rPr>
                <w:noProof/>
                <w:webHidden/>
              </w:rPr>
              <w:t>26</w:t>
            </w:r>
            <w:r w:rsidR="00C743DF">
              <w:rPr>
                <w:noProof/>
                <w:webHidden/>
              </w:rPr>
              <w:fldChar w:fldCharType="end"/>
            </w:r>
          </w:hyperlink>
        </w:p>
        <w:p w14:paraId="43374297" w14:textId="07691AB5" w:rsidR="00C743DF" w:rsidRDefault="00267716">
          <w:pPr>
            <w:pStyle w:val="Turinys2"/>
            <w:tabs>
              <w:tab w:val="right" w:leader="dot" w:pos="9628"/>
            </w:tabs>
            <w:rPr>
              <w:rFonts w:eastAsiaTheme="minorEastAsia"/>
              <w:noProof/>
              <w:lang w:eastAsia="lt-LT"/>
            </w:rPr>
          </w:pPr>
          <w:hyperlink w:anchor="_Toc52184453" w:history="1">
            <w:r w:rsidR="00C743DF" w:rsidRPr="00EC0027">
              <w:rPr>
                <w:rStyle w:val="Hipersaitas"/>
                <w:i/>
                <w:noProof/>
              </w:rPr>
              <w:t>ATV ZRT prieš Vengriją</w:t>
            </w:r>
            <w:r w:rsidR="00C743DF">
              <w:rPr>
                <w:noProof/>
                <w:webHidden/>
              </w:rPr>
              <w:tab/>
            </w:r>
            <w:r w:rsidR="00C743DF">
              <w:rPr>
                <w:noProof/>
                <w:webHidden/>
              </w:rPr>
              <w:fldChar w:fldCharType="begin"/>
            </w:r>
            <w:r w:rsidR="00C743DF">
              <w:rPr>
                <w:noProof/>
                <w:webHidden/>
              </w:rPr>
              <w:instrText xml:space="preserve"> PAGEREF _Toc52184453 \h </w:instrText>
            </w:r>
            <w:r w:rsidR="00C743DF">
              <w:rPr>
                <w:noProof/>
                <w:webHidden/>
              </w:rPr>
            </w:r>
            <w:r w:rsidR="00C743DF">
              <w:rPr>
                <w:noProof/>
                <w:webHidden/>
              </w:rPr>
              <w:fldChar w:fldCharType="separate"/>
            </w:r>
            <w:r w:rsidR="00C743DF">
              <w:rPr>
                <w:noProof/>
                <w:webHidden/>
              </w:rPr>
              <w:t>27</w:t>
            </w:r>
            <w:r w:rsidR="00C743DF">
              <w:rPr>
                <w:noProof/>
                <w:webHidden/>
              </w:rPr>
              <w:fldChar w:fldCharType="end"/>
            </w:r>
          </w:hyperlink>
        </w:p>
        <w:p w14:paraId="3A027346" w14:textId="5D14EC14" w:rsidR="00C743DF" w:rsidRDefault="00267716">
          <w:pPr>
            <w:pStyle w:val="Turinys3"/>
            <w:tabs>
              <w:tab w:val="right" w:leader="dot" w:pos="9628"/>
            </w:tabs>
            <w:rPr>
              <w:rFonts w:eastAsiaTheme="minorEastAsia"/>
              <w:noProof/>
              <w:lang w:eastAsia="lt-LT"/>
            </w:rPr>
          </w:pPr>
          <w:hyperlink w:anchor="_Toc52184454" w:history="1">
            <w:r w:rsidR="00C743DF" w:rsidRPr="00EC0027">
              <w:rPr>
                <w:rStyle w:val="Hipersaitas"/>
                <w:noProof/>
              </w:rPr>
              <w:t xml:space="preserve">Dėl draudimo televizijai apibūdinti politinę partiją kaip „kraštutinius dešiniuosius“, kiek tai susiję su įstatyme įtvirtinto draudimo žinių pranešėjams reikšti bet kokią </w:t>
            </w:r>
            <w:r w:rsidR="00512C17">
              <w:rPr>
                <w:rStyle w:val="Hipersaitas"/>
                <w:noProof/>
              </w:rPr>
              <w:t>,,</w:t>
            </w:r>
            <w:r w:rsidR="00C743DF" w:rsidRPr="00EC0027">
              <w:rPr>
                <w:rStyle w:val="Hipersaitas"/>
                <w:noProof/>
              </w:rPr>
              <w:t>nuomonę”</w:t>
            </w:r>
            <w:r w:rsidR="00C743DF">
              <w:rPr>
                <w:noProof/>
                <w:webHidden/>
              </w:rPr>
              <w:tab/>
            </w:r>
            <w:r w:rsidR="00C743DF">
              <w:rPr>
                <w:noProof/>
                <w:webHidden/>
              </w:rPr>
              <w:fldChar w:fldCharType="begin"/>
            </w:r>
            <w:r w:rsidR="00C743DF">
              <w:rPr>
                <w:noProof/>
                <w:webHidden/>
              </w:rPr>
              <w:instrText xml:space="preserve"> PAGEREF _Toc52184454 \h </w:instrText>
            </w:r>
            <w:r w:rsidR="00C743DF">
              <w:rPr>
                <w:noProof/>
                <w:webHidden/>
              </w:rPr>
            </w:r>
            <w:r w:rsidR="00C743DF">
              <w:rPr>
                <w:noProof/>
                <w:webHidden/>
              </w:rPr>
              <w:fldChar w:fldCharType="separate"/>
            </w:r>
            <w:r w:rsidR="00C743DF">
              <w:rPr>
                <w:noProof/>
                <w:webHidden/>
              </w:rPr>
              <w:t>27</w:t>
            </w:r>
            <w:r w:rsidR="00C743DF">
              <w:rPr>
                <w:noProof/>
                <w:webHidden/>
              </w:rPr>
              <w:fldChar w:fldCharType="end"/>
            </w:r>
          </w:hyperlink>
        </w:p>
        <w:p w14:paraId="0B0D04CC" w14:textId="6A2A2ECE" w:rsidR="00C743DF" w:rsidRDefault="00267716">
          <w:pPr>
            <w:pStyle w:val="Turinys2"/>
            <w:tabs>
              <w:tab w:val="right" w:leader="dot" w:pos="9628"/>
            </w:tabs>
            <w:rPr>
              <w:rFonts w:eastAsiaTheme="minorEastAsia"/>
              <w:noProof/>
              <w:lang w:eastAsia="lt-LT"/>
            </w:rPr>
          </w:pPr>
          <w:hyperlink w:anchor="_Toc52184455" w:history="1">
            <w:r w:rsidR="00C743DF" w:rsidRPr="00EC0027">
              <w:rPr>
                <w:rStyle w:val="Hipersaitas"/>
                <w:rFonts w:eastAsia="Calibri" w:cstheme="minorHAnsi"/>
                <w:i/>
                <w:noProof/>
              </w:rPr>
              <w:t>Cimperšek prieš Slovėniją</w:t>
            </w:r>
            <w:r w:rsidR="00C743DF">
              <w:rPr>
                <w:noProof/>
                <w:webHidden/>
              </w:rPr>
              <w:tab/>
            </w:r>
            <w:r w:rsidR="00C743DF">
              <w:rPr>
                <w:noProof/>
                <w:webHidden/>
              </w:rPr>
              <w:fldChar w:fldCharType="begin"/>
            </w:r>
            <w:r w:rsidR="00C743DF">
              <w:rPr>
                <w:noProof/>
                <w:webHidden/>
              </w:rPr>
              <w:instrText xml:space="preserve"> PAGEREF _Toc52184455 \h </w:instrText>
            </w:r>
            <w:r w:rsidR="00C743DF">
              <w:rPr>
                <w:noProof/>
                <w:webHidden/>
              </w:rPr>
            </w:r>
            <w:r w:rsidR="00C743DF">
              <w:rPr>
                <w:noProof/>
                <w:webHidden/>
              </w:rPr>
              <w:fldChar w:fldCharType="separate"/>
            </w:r>
            <w:r w:rsidR="00C743DF">
              <w:rPr>
                <w:noProof/>
                <w:webHidden/>
              </w:rPr>
              <w:t>28</w:t>
            </w:r>
            <w:r w:rsidR="00C743DF">
              <w:rPr>
                <w:noProof/>
                <w:webHidden/>
              </w:rPr>
              <w:fldChar w:fldCharType="end"/>
            </w:r>
          </w:hyperlink>
        </w:p>
        <w:p w14:paraId="0D7DBAB6" w14:textId="47A1623E" w:rsidR="00C743DF" w:rsidRDefault="00267716">
          <w:pPr>
            <w:pStyle w:val="Turinys3"/>
            <w:tabs>
              <w:tab w:val="right" w:leader="dot" w:pos="9628"/>
            </w:tabs>
            <w:rPr>
              <w:rFonts w:eastAsiaTheme="minorEastAsia"/>
              <w:noProof/>
              <w:lang w:eastAsia="lt-LT"/>
            </w:rPr>
          </w:pPr>
          <w:hyperlink w:anchor="_Toc52184456" w:history="1">
            <w:r w:rsidR="00C743DF" w:rsidRPr="00EC0027">
              <w:rPr>
                <w:rStyle w:val="Hipersaitas"/>
                <w:rFonts w:eastAsia="Calibri" w:cstheme="minorHAnsi"/>
                <w:bCs/>
                <w:iCs/>
                <w:noProof/>
              </w:rPr>
              <w:t>Dėl atsisakymo suteikti teismo eksperto vardą asmeniui už pastarojo kritiką valstybės institucijoms</w:t>
            </w:r>
            <w:r w:rsidR="00C743DF">
              <w:rPr>
                <w:noProof/>
                <w:webHidden/>
              </w:rPr>
              <w:tab/>
            </w:r>
            <w:r w:rsidR="00C743DF">
              <w:rPr>
                <w:noProof/>
                <w:webHidden/>
              </w:rPr>
              <w:fldChar w:fldCharType="begin"/>
            </w:r>
            <w:r w:rsidR="00C743DF">
              <w:rPr>
                <w:noProof/>
                <w:webHidden/>
              </w:rPr>
              <w:instrText xml:space="preserve"> PAGEREF _Toc52184456 \h </w:instrText>
            </w:r>
            <w:r w:rsidR="00C743DF">
              <w:rPr>
                <w:noProof/>
                <w:webHidden/>
              </w:rPr>
            </w:r>
            <w:r w:rsidR="00C743DF">
              <w:rPr>
                <w:noProof/>
                <w:webHidden/>
              </w:rPr>
              <w:fldChar w:fldCharType="separate"/>
            </w:r>
            <w:r w:rsidR="00C743DF">
              <w:rPr>
                <w:noProof/>
                <w:webHidden/>
              </w:rPr>
              <w:t>28</w:t>
            </w:r>
            <w:r w:rsidR="00C743DF">
              <w:rPr>
                <w:noProof/>
                <w:webHidden/>
              </w:rPr>
              <w:fldChar w:fldCharType="end"/>
            </w:r>
          </w:hyperlink>
        </w:p>
        <w:p w14:paraId="2B709F3A" w14:textId="5253FB7C" w:rsidR="00C743DF" w:rsidRDefault="00267716">
          <w:pPr>
            <w:pStyle w:val="Turinys1"/>
            <w:rPr>
              <w:rFonts w:eastAsiaTheme="minorEastAsia"/>
              <w:color w:val="auto"/>
              <w:lang w:eastAsia="lt-LT"/>
            </w:rPr>
          </w:pPr>
          <w:hyperlink w:anchor="_Toc52184457" w:history="1">
            <w:r w:rsidR="00C743DF" w:rsidRPr="00EC0027">
              <w:rPr>
                <w:rStyle w:val="Hipersaitas"/>
                <w:rFonts w:eastAsia="Times New Roman"/>
              </w:rPr>
              <w:t>SUSIRINKIMŲ IR ASOCIACIJOS LAISVĖ (11 straipsnis)</w:t>
            </w:r>
            <w:r w:rsidR="00C743DF">
              <w:rPr>
                <w:webHidden/>
              </w:rPr>
              <w:tab/>
            </w:r>
            <w:r w:rsidR="00C743DF">
              <w:rPr>
                <w:webHidden/>
              </w:rPr>
              <w:fldChar w:fldCharType="begin"/>
            </w:r>
            <w:r w:rsidR="00C743DF">
              <w:rPr>
                <w:webHidden/>
              </w:rPr>
              <w:instrText xml:space="preserve"> PAGEREF _Toc52184457 \h </w:instrText>
            </w:r>
            <w:r w:rsidR="00C743DF">
              <w:rPr>
                <w:webHidden/>
              </w:rPr>
            </w:r>
            <w:r w:rsidR="00C743DF">
              <w:rPr>
                <w:webHidden/>
              </w:rPr>
              <w:fldChar w:fldCharType="separate"/>
            </w:r>
            <w:r w:rsidR="00C743DF">
              <w:rPr>
                <w:webHidden/>
              </w:rPr>
              <w:t>29</w:t>
            </w:r>
            <w:r w:rsidR="00C743DF">
              <w:rPr>
                <w:webHidden/>
              </w:rPr>
              <w:fldChar w:fldCharType="end"/>
            </w:r>
          </w:hyperlink>
        </w:p>
        <w:p w14:paraId="1A993603" w14:textId="2385F077" w:rsidR="00C743DF" w:rsidRDefault="00267716">
          <w:pPr>
            <w:pStyle w:val="Turinys2"/>
            <w:tabs>
              <w:tab w:val="right" w:leader="dot" w:pos="9628"/>
            </w:tabs>
            <w:rPr>
              <w:rFonts w:eastAsiaTheme="minorEastAsia"/>
              <w:noProof/>
              <w:lang w:eastAsia="lt-LT"/>
            </w:rPr>
          </w:pPr>
          <w:hyperlink w:anchor="_Toc52184458" w:history="1">
            <w:r w:rsidR="00C743DF" w:rsidRPr="00EC0027">
              <w:rPr>
                <w:rStyle w:val="Hipersaitas"/>
                <w:i/>
                <w:noProof/>
              </w:rPr>
              <w:t>Ignatencu et Parti communiste roumain (PCR) prieš Rumuniją</w:t>
            </w:r>
            <w:r w:rsidR="00C743DF">
              <w:rPr>
                <w:noProof/>
                <w:webHidden/>
              </w:rPr>
              <w:tab/>
            </w:r>
            <w:r w:rsidR="00C743DF">
              <w:rPr>
                <w:noProof/>
                <w:webHidden/>
              </w:rPr>
              <w:fldChar w:fldCharType="begin"/>
            </w:r>
            <w:r w:rsidR="00C743DF">
              <w:rPr>
                <w:noProof/>
                <w:webHidden/>
              </w:rPr>
              <w:instrText xml:space="preserve"> PAGEREF _Toc52184458 \h </w:instrText>
            </w:r>
            <w:r w:rsidR="00C743DF">
              <w:rPr>
                <w:noProof/>
                <w:webHidden/>
              </w:rPr>
            </w:r>
            <w:r w:rsidR="00C743DF">
              <w:rPr>
                <w:noProof/>
                <w:webHidden/>
              </w:rPr>
              <w:fldChar w:fldCharType="separate"/>
            </w:r>
            <w:r w:rsidR="00C743DF">
              <w:rPr>
                <w:noProof/>
                <w:webHidden/>
              </w:rPr>
              <w:t>29</w:t>
            </w:r>
            <w:r w:rsidR="00C743DF">
              <w:rPr>
                <w:noProof/>
                <w:webHidden/>
              </w:rPr>
              <w:fldChar w:fldCharType="end"/>
            </w:r>
          </w:hyperlink>
        </w:p>
        <w:p w14:paraId="02B9BE93" w14:textId="4CC2AC3E" w:rsidR="00C743DF" w:rsidRDefault="00267716">
          <w:pPr>
            <w:pStyle w:val="Turinys3"/>
            <w:tabs>
              <w:tab w:val="right" w:leader="dot" w:pos="9628"/>
            </w:tabs>
            <w:rPr>
              <w:rFonts w:eastAsiaTheme="minorEastAsia"/>
              <w:noProof/>
              <w:lang w:eastAsia="lt-LT"/>
            </w:rPr>
          </w:pPr>
          <w:hyperlink w:anchor="_Toc52184459" w:history="1">
            <w:r w:rsidR="00C743DF" w:rsidRPr="00EC0027">
              <w:rPr>
                <w:rStyle w:val="Hipersaitas"/>
                <w:noProof/>
              </w:rPr>
              <w:t>Dėl atsisakymo įregistruoti politinę partiją, pasiskelbusią komunistų partijos, likviduotos 1989 metais dėl totalitarinio režimo vykdymo, tęsėja</w:t>
            </w:r>
            <w:r w:rsidR="00C743DF">
              <w:rPr>
                <w:noProof/>
                <w:webHidden/>
              </w:rPr>
              <w:tab/>
            </w:r>
            <w:r w:rsidR="00C743DF">
              <w:rPr>
                <w:noProof/>
                <w:webHidden/>
              </w:rPr>
              <w:fldChar w:fldCharType="begin"/>
            </w:r>
            <w:r w:rsidR="00C743DF">
              <w:rPr>
                <w:noProof/>
                <w:webHidden/>
              </w:rPr>
              <w:instrText xml:space="preserve"> PAGEREF _Toc52184459 \h </w:instrText>
            </w:r>
            <w:r w:rsidR="00C743DF">
              <w:rPr>
                <w:noProof/>
                <w:webHidden/>
              </w:rPr>
            </w:r>
            <w:r w:rsidR="00C743DF">
              <w:rPr>
                <w:noProof/>
                <w:webHidden/>
              </w:rPr>
              <w:fldChar w:fldCharType="separate"/>
            </w:r>
            <w:r w:rsidR="00C743DF">
              <w:rPr>
                <w:noProof/>
                <w:webHidden/>
              </w:rPr>
              <w:t>29</w:t>
            </w:r>
            <w:r w:rsidR="00C743DF">
              <w:rPr>
                <w:noProof/>
                <w:webHidden/>
              </w:rPr>
              <w:fldChar w:fldCharType="end"/>
            </w:r>
          </w:hyperlink>
        </w:p>
        <w:p w14:paraId="2AD0CAB2" w14:textId="788F603B" w:rsidR="00C743DF" w:rsidRDefault="00267716">
          <w:pPr>
            <w:pStyle w:val="Turinys1"/>
            <w:rPr>
              <w:rFonts w:eastAsiaTheme="minorEastAsia"/>
              <w:color w:val="auto"/>
              <w:lang w:eastAsia="lt-LT"/>
            </w:rPr>
          </w:pPr>
          <w:hyperlink w:anchor="_Toc52184460" w:history="1">
            <w:r w:rsidR="00C743DF" w:rsidRPr="00EC0027">
              <w:rPr>
                <w:rStyle w:val="Hipersaitas"/>
                <w:rFonts w:eastAsia="Times New Roman"/>
              </w:rPr>
              <w:t>TEISĖ Į VEIKSMINGĄ TEISINĖS GYNYBOS PRIEMONĘ (13 straipsnis)</w:t>
            </w:r>
            <w:r w:rsidR="00C743DF">
              <w:rPr>
                <w:webHidden/>
              </w:rPr>
              <w:tab/>
            </w:r>
            <w:r w:rsidR="00C743DF">
              <w:rPr>
                <w:webHidden/>
              </w:rPr>
              <w:fldChar w:fldCharType="begin"/>
            </w:r>
            <w:r w:rsidR="00C743DF">
              <w:rPr>
                <w:webHidden/>
              </w:rPr>
              <w:instrText xml:space="preserve"> PAGEREF _Toc52184460 \h </w:instrText>
            </w:r>
            <w:r w:rsidR="00C743DF">
              <w:rPr>
                <w:webHidden/>
              </w:rPr>
            </w:r>
            <w:r w:rsidR="00C743DF">
              <w:rPr>
                <w:webHidden/>
              </w:rPr>
              <w:fldChar w:fldCharType="separate"/>
            </w:r>
            <w:r w:rsidR="00C743DF">
              <w:rPr>
                <w:webHidden/>
              </w:rPr>
              <w:t>30</w:t>
            </w:r>
            <w:r w:rsidR="00C743DF">
              <w:rPr>
                <w:webHidden/>
              </w:rPr>
              <w:fldChar w:fldCharType="end"/>
            </w:r>
          </w:hyperlink>
        </w:p>
        <w:p w14:paraId="26FCD879" w14:textId="10CA4760" w:rsidR="00C743DF" w:rsidRDefault="00267716">
          <w:pPr>
            <w:pStyle w:val="Turinys2"/>
            <w:tabs>
              <w:tab w:val="right" w:leader="dot" w:pos="9628"/>
            </w:tabs>
            <w:rPr>
              <w:rFonts w:eastAsiaTheme="minorEastAsia"/>
              <w:noProof/>
              <w:lang w:eastAsia="lt-LT"/>
            </w:rPr>
          </w:pPr>
          <w:hyperlink w:anchor="_Toc52184461" w:history="1">
            <w:r w:rsidR="00C743DF" w:rsidRPr="00EC0027">
              <w:rPr>
                <w:rStyle w:val="Hipersaitas"/>
                <w:rFonts w:eastAsia="Calibri" w:cstheme="minorHAnsi"/>
                <w:i/>
                <w:noProof/>
              </w:rPr>
              <w:t>Bastys prieš Lietuvą</w:t>
            </w:r>
            <w:r w:rsidR="00C743DF">
              <w:rPr>
                <w:noProof/>
                <w:webHidden/>
              </w:rPr>
              <w:tab/>
            </w:r>
            <w:r w:rsidR="00C743DF">
              <w:rPr>
                <w:noProof/>
                <w:webHidden/>
              </w:rPr>
              <w:fldChar w:fldCharType="begin"/>
            </w:r>
            <w:r w:rsidR="00C743DF">
              <w:rPr>
                <w:noProof/>
                <w:webHidden/>
              </w:rPr>
              <w:instrText xml:space="preserve"> PAGEREF _Toc52184461 \h </w:instrText>
            </w:r>
            <w:r w:rsidR="00C743DF">
              <w:rPr>
                <w:noProof/>
                <w:webHidden/>
              </w:rPr>
            </w:r>
            <w:r w:rsidR="00C743DF">
              <w:rPr>
                <w:noProof/>
                <w:webHidden/>
              </w:rPr>
              <w:fldChar w:fldCharType="separate"/>
            </w:r>
            <w:r w:rsidR="00C743DF">
              <w:rPr>
                <w:noProof/>
                <w:webHidden/>
              </w:rPr>
              <w:t>30</w:t>
            </w:r>
            <w:r w:rsidR="00C743DF">
              <w:rPr>
                <w:noProof/>
                <w:webHidden/>
              </w:rPr>
              <w:fldChar w:fldCharType="end"/>
            </w:r>
          </w:hyperlink>
        </w:p>
        <w:p w14:paraId="4D096137" w14:textId="091026B5" w:rsidR="00C743DF" w:rsidRDefault="00267716">
          <w:pPr>
            <w:pStyle w:val="Turinys3"/>
            <w:tabs>
              <w:tab w:val="right" w:leader="dot" w:pos="9628"/>
            </w:tabs>
            <w:rPr>
              <w:rFonts w:eastAsiaTheme="minorEastAsia"/>
              <w:noProof/>
              <w:lang w:eastAsia="lt-LT"/>
            </w:rPr>
          </w:pPr>
          <w:hyperlink w:anchor="_Toc52184462" w:history="1">
            <w:r w:rsidR="00C743DF" w:rsidRPr="00EC0027">
              <w:rPr>
                <w:rStyle w:val="Hipersaitas"/>
                <w:rFonts w:eastAsia="Calibri" w:cstheme="minorHAnsi"/>
                <w:bCs/>
                <w:iCs/>
                <w:noProof/>
              </w:rPr>
              <w:t>Dėl veiksmingos teisinės gynybos priemonės siekiant apskųsti Lietuvos Respublikos valstybės saugumo departamento pažymoje suformuluotas išvadas</w:t>
            </w:r>
            <w:r w:rsidR="00C743DF">
              <w:rPr>
                <w:noProof/>
                <w:webHidden/>
              </w:rPr>
              <w:tab/>
            </w:r>
            <w:r w:rsidR="00C743DF">
              <w:rPr>
                <w:noProof/>
                <w:webHidden/>
              </w:rPr>
              <w:fldChar w:fldCharType="begin"/>
            </w:r>
            <w:r w:rsidR="00C743DF">
              <w:rPr>
                <w:noProof/>
                <w:webHidden/>
              </w:rPr>
              <w:instrText xml:space="preserve"> PAGEREF _Toc52184462 \h </w:instrText>
            </w:r>
            <w:r w:rsidR="00C743DF">
              <w:rPr>
                <w:noProof/>
                <w:webHidden/>
              </w:rPr>
            </w:r>
            <w:r w:rsidR="00C743DF">
              <w:rPr>
                <w:noProof/>
                <w:webHidden/>
              </w:rPr>
              <w:fldChar w:fldCharType="separate"/>
            </w:r>
            <w:r w:rsidR="00C743DF">
              <w:rPr>
                <w:noProof/>
                <w:webHidden/>
              </w:rPr>
              <w:t>30</w:t>
            </w:r>
            <w:r w:rsidR="00C743DF">
              <w:rPr>
                <w:noProof/>
                <w:webHidden/>
              </w:rPr>
              <w:fldChar w:fldCharType="end"/>
            </w:r>
          </w:hyperlink>
        </w:p>
        <w:p w14:paraId="7BE34ADA" w14:textId="66A06055" w:rsidR="00C743DF" w:rsidRDefault="00267716">
          <w:pPr>
            <w:pStyle w:val="Turinys1"/>
            <w:rPr>
              <w:rFonts w:eastAsiaTheme="minorEastAsia"/>
              <w:color w:val="auto"/>
              <w:lang w:eastAsia="lt-LT"/>
            </w:rPr>
          </w:pPr>
          <w:hyperlink w:anchor="_Toc52184463" w:history="1">
            <w:r w:rsidR="00C743DF" w:rsidRPr="00EC0027">
              <w:rPr>
                <w:rStyle w:val="Hipersaitas"/>
                <w:rFonts w:eastAsia="Times New Roman"/>
              </w:rPr>
              <w:t>NUOSAVYBĖS APSAUGA (Pirmojo protokolo 1 straipsnis)</w:t>
            </w:r>
            <w:r w:rsidR="00C743DF">
              <w:rPr>
                <w:webHidden/>
              </w:rPr>
              <w:tab/>
            </w:r>
            <w:r w:rsidR="00C743DF">
              <w:rPr>
                <w:webHidden/>
              </w:rPr>
              <w:fldChar w:fldCharType="begin"/>
            </w:r>
            <w:r w:rsidR="00C743DF">
              <w:rPr>
                <w:webHidden/>
              </w:rPr>
              <w:instrText xml:space="preserve"> PAGEREF _Toc52184463 \h </w:instrText>
            </w:r>
            <w:r w:rsidR="00C743DF">
              <w:rPr>
                <w:webHidden/>
              </w:rPr>
            </w:r>
            <w:r w:rsidR="00C743DF">
              <w:rPr>
                <w:webHidden/>
              </w:rPr>
              <w:fldChar w:fldCharType="separate"/>
            </w:r>
            <w:r w:rsidR="00C743DF">
              <w:rPr>
                <w:webHidden/>
              </w:rPr>
              <w:t>32</w:t>
            </w:r>
            <w:r w:rsidR="00C743DF">
              <w:rPr>
                <w:webHidden/>
              </w:rPr>
              <w:fldChar w:fldCharType="end"/>
            </w:r>
          </w:hyperlink>
        </w:p>
        <w:p w14:paraId="59BB7F29" w14:textId="6C237841" w:rsidR="00C743DF" w:rsidRDefault="00267716">
          <w:pPr>
            <w:pStyle w:val="Turinys2"/>
            <w:tabs>
              <w:tab w:val="right" w:leader="dot" w:pos="9628"/>
            </w:tabs>
            <w:rPr>
              <w:rFonts w:eastAsiaTheme="minorEastAsia"/>
              <w:noProof/>
              <w:lang w:eastAsia="lt-LT"/>
            </w:rPr>
          </w:pPr>
          <w:hyperlink w:anchor="_Toc52184464" w:history="1">
            <w:r w:rsidR="00C743DF" w:rsidRPr="00EC0027">
              <w:rPr>
                <w:rStyle w:val="Hipersaitas"/>
                <w:i/>
                <w:noProof/>
              </w:rPr>
              <w:t>Šeiko prieš Lietuvą</w:t>
            </w:r>
            <w:r w:rsidR="00C743DF">
              <w:rPr>
                <w:noProof/>
                <w:webHidden/>
              </w:rPr>
              <w:tab/>
            </w:r>
            <w:r w:rsidR="00C743DF">
              <w:rPr>
                <w:noProof/>
                <w:webHidden/>
              </w:rPr>
              <w:fldChar w:fldCharType="begin"/>
            </w:r>
            <w:r w:rsidR="00C743DF">
              <w:rPr>
                <w:noProof/>
                <w:webHidden/>
              </w:rPr>
              <w:instrText xml:space="preserve"> PAGEREF _Toc52184464 \h </w:instrText>
            </w:r>
            <w:r w:rsidR="00C743DF">
              <w:rPr>
                <w:noProof/>
                <w:webHidden/>
              </w:rPr>
            </w:r>
            <w:r w:rsidR="00C743DF">
              <w:rPr>
                <w:noProof/>
                <w:webHidden/>
              </w:rPr>
              <w:fldChar w:fldCharType="separate"/>
            </w:r>
            <w:r w:rsidR="00C743DF">
              <w:rPr>
                <w:noProof/>
                <w:webHidden/>
              </w:rPr>
              <w:t>32</w:t>
            </w:r>
            <w:r w:rsidR="00C743DF">
              <w:rPr>
                <w:noProof/>
                <w:webHidden/>
              </w:rPr>
              <w:fldChar w:fldCharType="end"/>
            </w:r>
          </w:hyperlink>
        </w:p>
        <w:p w14:paraId="090A2C61" w14:textId="37C7FB63" w:rsidR="00C743DF" w:rsidRDefault="00267716">
          <w:pPr>
            <w:pStyle w:val="Turinys3"/>
            <w:tabs>
              <w:tab w:val="right" w:leader="dot" w:pos="9628"/>
            </w:tabs>
            <w:rPr>
              <w:rFonts w:eastAsiaTheme="minorEastAsia"/>
              <w:noProof/>
              <w:lang w:eastAsia="lt-LT"/>
            </w:rPr>
          </w:pPr>
          <w:hyperlink w:anchor="_Toc52184465" w:history="1">
            <w:r w:rsidR="00C743DF" w:rsidRPr="00EC0027">
              <w:rPr>
                <w:rStyle w:val="Hipersaitas"/>
                <w:noProof/>
              </w:rPr>
              <w:t>Dėl antstolio vykdomo 20 procentų</w:t>
            </w:r>
            <w:r w:rsidR="00512C17">
              <w:rPr>
                <w:rStyle w:val="Hipersaitas"/>
                <w:noProof/>
              </w:rPr>
              <w:t xml:space="preserve"> per </w:t>
            </w:r>
            <w:r w:rsidR="00C743DF" w:rsidRPr="00EC0027">
              <w:rPr>
                <w:rStyle w:val="Hipersaitas"/>
                <w:noProof/>
              </w:rPr>
              <w:t>mėn</w:t>
            </w:r>
            <w:r w:rsidR="00512C17">
              <w:rPr>
                <w:rStyle w:val="Hipersaitas"/>
                <w:noProof/>
              </w:rPr>
              <w:t>esį</w:t>
            </w:r>
            <w:r w:rsidR="00C743DF" w:rsidRPr="00EC0027">
              <w:rPr>
                <w:rStyle w:val="Hipersaitas"/>
                <w:noProof/>
              </w:rPr>
              <w:t xml:space="preserve"> dydžio sumos išskaičiavimo iš pareiškėjos senatvės pensijos</w:t>
            </w:r>
            <w:r w:rsidR="00C743DF">
              <w:rPr>
                <w:noProof/>
                <w:webHidden/>
              </w:rPr>
              <w:tab/>
            </w:r>
            <w:r w:rsidR="00C743DF">
              <w:rPr>
                <w:noProof/>
                <w:webHidden/>
              </w:rPr>
              <w:fldChar w:fldCharType="begin"/>
            </w:r>
            <w:r w:rsidR="00C743DF">
              <w:rPr>
                <w:noProof/>
                <w:webHidden/>
              </w:rPr>
              <w:instrText xml:space="preserve"> PAGEREF _Toc52184465 \h </w:instrText>
            </w:r>
            <w:r w:rsidR="00C743DF">
              <w:rPr>
                <w:noProof/>
                <w:webHidden/>
              </w:rPr>
            </w:r>
            <w:r w:rsidR="00C743DF">
              <w:rPr>
                <w:noProof/>
                <w:webHidden/>
              </w:rPr>
              <w:fldChar w:fldCharType="separate"/>
            </w:r>
            <w:r w:rsidR="00C743DF">
              <w:rPr>
                <w:noProof/>
                <w:webHidden/>
              </w:rPr>
              <w:t>32</w:t>
            </w:r>
            <w:r w:rsidR="00C743DF">
              <w:rPr>
                <w:noProof/>
                <w:webHidden/>
              </w:rPr>
              <w:fldChar w:fldCharType="end"/>
            </w:r>
          </w:hyperlink>
        </w:p>
        <w:p w14:paraId="5F55C1A6" w14:textId="6655289A" w:rsidR="00EE09AD" w:rsidRPr="00536624" w:rsidRDefault="00EE09AD" w:rsidP="00351D5B">
          <w:pPr>
            <w:ind w:right="-1"/>
            <w:rPr>
              <w:rFonts w:ascii="Calibri" w:hAnsi="Calibri" w:cs="Calibri"/>
            </w:rPr>
          </w:pPr>
          <w:r w:rsidRPr="00536624">
            <w:rPr>
              <w:rFonts w:ascii="Calibri" w:hAnsi="Calibri" w:cs="Calibri"/>
              <w:b/>
              <w:bCs/>
            </w:rPr>
            <w:fldChar w:fldCharType="end"/>
          </w:r>
        </w:p>
      </w:sdtContent>
    </w:sdt>
    <w:p w14:paraId="77F2DB7D" w14:textId="5E0F1847" w:rsidR="00EE09AD" w:rsidRPr="00536624" w:rsidRDefault="00EE09AD" w:rsidP="00351D5B">
      <w:pPr>
        <w:spacing w:after="0" w:line="240" w:lineRule="auto"/>
        <w:ind w:right="-1"/>
        <w:jc w:val="both"/>
        <w:rPr>
          <w:rFonts w:ascii="Calibri" w:eastAsia="Calibri" w:hAnsi="Calibri" w:cs="Calibri"/>
          <w:b/>
          <w:highlight w:val="yellow"/>
        </w:rPr>
      </w:pPr>
      <w:r w:rsidRPr="00536624">
        <w:rPr>
          <w:rFonts w:ascii="Calibri" w:eastAsia="Calibri" w:hAnsi="Calibri" w:cs="Calibri"/>
          <w:b/>
          <w:highlight w:val="yellow"/>
        </w:rPr>
        <w:br w:type="page"/>
      </w:r>
    </w:p>
    <w:p w14:paraId="7DE3EE2A" w14:textId="5E91E94F" w:rsidR="00351D5B" w:rsidRPr="00536624" w:rsidRDefault="00351D5B" w:rsidP="00F56322">
      <w:pPr>
        <w:pStyle w:val="Antrat1"/>
        <w:spacing w:before="0"/>
        <w:rPr>
          <w:rFonts w:ascii="Calibri" w:eastAsia="Times New Roman" w:hAnsi="Calibri" w:cs="Calibri"/>
          <w:color w:val="323E4F"/>
          <w:szCs w:val="22"/>
        </w:rPr>
      </w:pPr>
      <w:bookmarkStart w:id="0" w:name="_Toc52184415"/>
      <w:r w:rsidRPr="00536624">
        <w:rPr>
          <w:rFonts w:ascii="Calibri" w:eastAsia="Times New Roman" w:hAnsi="Calibri" w:cs="Calibri"/>
          <w:color w:val="323E4F"/>
          <w:szCs w:val="22"/>
        </w:rPr>
        <w:lastRenderedPageBreak/>
        <w:t xml:space="preserve">TEISĖ Į GYVYBĘ </w:t>
      </w:r>
      <w:r w:rsidR="00536624" w:rsidRPr="00536624">
        <w:rPr>
          <w:rFonts w:ascii="Calibri" w:eastAsia="Times New Roman" w:hAnsi="Calibri" w:cs="Calibri"/>
          <w:color w:val="323E4F"/>
          <w:szCs w:val="22"/>
        </w:rPr>
        <w:t>(2 straipsnis)</w:t>
      </w:r>
      <w:r w:rsidR="00536624" w:rsidRPr="00536624">
        <w:rPr>
          <w:rFonts w:eastAsia="Times New Roman" w:cstheme="minorHAnsi"/>
          <w:color w:val="323E4F"/>
        </w:rPr>
        <w:t xml:space="preserve"> </w:t>
      </w:r>
      <w:r w:rsidR="00536624">
        <w:rPr>
          <w:rFonts w:ascii="Calibri" w:eastAsia="Times New Roman" w:hAnsi="Calibri" w:cs="Calibri"/>
          <w:color w:val="323E4F"/>
          <w:szCs w:val="22"/>
        </w:rPr>
        <w:t xml:space="preserve">IR </w:t>
      </w:r>
      <w:r w:rsidR="00536624" w:rsidRPr="00536624">
        <w:rPr>
          <w:rFonts w:eastAsia="Times New Roman" w:cstheme="minorHAnsi"/>
          <w:color w:val="323E4F"/>
        </w:rPr>
        <w:t>KANKINIMO UŽDRAUDIMAS(</w:t>
      </w:r>
      <w:r w:rsidR="00536624">
        <w:rPr>
          <w:rFonts w:eastAsia="Times New Roman" w:cstheme="minorHAnsi"/>
          <w:color w:val="323E4F"/>
        </w:rPr>
        <w:t xml:space="preserve"> </w:t>
      </w:r>
      <w:r w:rsidR="00536624" w:rsidRPr="00536624">
        <w:rPr>
          <w:rFonts w:eastAsia="Times New Roman" w:cstheme="minorHAnsi"/>
          <w:color w:val="323E4F"/>
        </w:rPr>
        <w:t>3 straipsnis)</w:t>
      </w:r>
      <w:bookmarkEnd w:id="0"/>
    </w:p>
    <w:p w14:paraId="7DB26BD6" w14:textId="1EB059F6" w:rsidR="00351D5B" w:rsidRPr="00536624" w:rsidRDefault="00351D5B" w:rsidP="00536624">
      <w:pPr>
        <w:pStyle w:val="Antrat1"/>
        <w:spacing w:before="0"/>
        <w:rPr>
          <w:rFonts w:eastAsia="Times New Roman" w:cstheme="minorHAnsi"/>
          <w:b w:val="0"/>
          <w:color w:val="323E4F"/>
        </w:rPr>
      </w:pPr>
      <w:r w:rsidRPr="00536624">
        <w:rPr>
          <w:rFonts w:eastAsia="Times New Roman" w:cstheme="minorHAnsi"/>
          <w:color w:val="323E4F"/>
        </w:rPr>
        <w:t xml:space="preserve"> </w:t>
      </w:r>
    </w:p>
    <w:p w14:paraId="40DFF06C"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vasario 20 d. sprendimas byloje</w:t>
      </w:r>
    </w:p>
    <w:p w14:paraId="6A17267D" w14:textId="77777777" w:rsidR="00351D5B" w:rsidRPr="00536624" w:rsidRDefault="00351D5B" w:rsidP="003460C1">
      <w:pPr>
        <w:pStyle w:val="Antrat2"/>
        <w:jc w:val="center"/>
        <w:rPr>
          <w:i/>
        </w:rPr>
      </w:pPr>
      <w:bookmarkStart w:id="1" w:name="_Toc52184416"/>
      <w:r w:rsidRPr="00536624">
        <w:rPr>
          <w:i/>
        </w:rPr>
        <w:t>M. A. ir kiti prieš Bulgariją</w:t>
      </w:r>
      <w:bookmarkEnd w:id="1"/>
    </w:p>
    <w:p w14:paraId="152C7FA6"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5115/18, svarbos lygis – 2)</w:t>
      </w:r>
    </w:p>
    <w:p w14:paraId="6729CEE8" w14:textId="77777777" w:rsidR="00351D5B" w:rsidRPr="00536624" w:rsidRDefault="00351D5B" w:rsidP="00F56322">
      <w:pPr>
        <w:pStyle w:val="Antrat3"/>
        <w:spacing w:before="0" w:line="240" w:lineRule="auto"/>
        <w:ind w:firstLine="567"/>
        <w:jc w:val="both"/>
        <w:rPr>
          <w:rFonts w:ascii="Calibri" w:eastAsia="Calibri" w:hAnsi="Calibri" w:cs="Calibri"/>
          <w:bCs/>
          <w:iCs/>
          <w:szCs w:val="22"/>
        </w:rPr>
      </w:pPr>
    </w:p>
    <w:p w14:paraId="49F37EAF" w14:textId="6775E1A0" w:rsidR="00351D5B" w:rsidRPr="00536624" w:rsidRDefault="00351D5B" w:rsidP="00F56322">
      <w:pPr>
        <w:pStyle w:val="Antrat3"/>
        <w:spacing w:before="0" w:line="240" w:lineRule="auto"/>
        <w:ind w:firstLine="567"/>
        <w:jc w:val="both"/>
        <w:rPr>
          <w:rFonts w:ascii="Calibri" w:eastAsia="Calibri" w:hAnsi="Calibri" w:cs="Calibri"/>
          <w:bCs/>
          <w:iCs/>
          <w:szCs w:val="22"/>
        </w:rPr>
      </w:pPr>
      <w:bookmarkStart w:id="2" w:name="_Toc52184417"/>
      <w:r w:rsidRPr="00536624">
        <w:rPr>
          <w:rFonts w:ascii="Calibri" w:eastAsia="Calibri" w:hAnsi="Calibri" w:cs="Calibri"/>
          <w:bCs/>
          <w:iCs/>
          <w:szCs w:val="22"/>
        </w:rPr>
        <w:t xml:space="preserve">Dėl veiksmingų garantijų trūkumo grąžinant </w:t>
      </w:r>
      <w:proofErr w:type="spellStart"/>
      <w:r w:rsidRPr="00536624">
        <w:rPr>
          <w:rFonts w:ascii="Calibri" w:eastAsia="Calibri" w:hAnsi="Calibri" w:cs="Calibri"/>
          <w:bCs/>
          <w:iCs/>
          <w:szCs w:val="22"/>
        </w:rPr>
        <w:t>uigūrus</w:t>
      </w:r>
      <w:proofErr w:type="spellEnd"/>
      <w:r w:rsidRPr="00536624">
        <w:rPr>
          <w:rFonts w:ascii="Calibri" w:eastAsia="Calibri" w:hAnsi="Calibri" w:cs="Calibri"/>
          <w:bCs/>
          <w:iCs/>
          <w:szCs w:val="22"/>
        </w:rPr>
        <w:t xml:space="preserve"> į Kiniją, esant savavališko sulaikymo, netinkamo elgesio ir mirties rizikai</w:t>
      </w:r>
      <w:bookmarkEnd w:id="2"/>
    </w:p>
    <w:p w14:paraId="1D4FE8B3"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D9EEECD"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753BE4CB"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BED09B4" w14:textId="77777777" w:rsidR="00783BB3" w:rsidRDefault="00351D5B"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Pareiškėjai, penki musulmonų </w:t>
      </w:r>
      <w:proofErr w:type="spellStart"/>
      <w:r w:rsidRPr="00536624">
        <w:rPr>
          <w:rFonts w:eastAsia="Times New Roman" w:cstheme="minorHAnsi"/>
          <w:color w:val="000000"/>
        </w:rPr>
        <w:t>uigūrai</w:t>
      </w:r>
      <w:proofErr w:type="spellEnd"/>
      <w:r w:rsidRPr="00536624">
        <w:rPr>
          <w:rFonts w:eastAsia="Times New Roman" w:cstheme="minorHAnsi"/>
          <w:color w:val="000000"/>
        </w:rPr>
        <w:t xml:space="preserve"> iš Kinijos </w:t>
      </w:r>
      <w:proofErr w:type="spellStart"/>
      <w:r w:rsidRPr="00536624">
        <w:rPr>
          <w:rFonts w:eastAsia="Times New Roman" w:cstheme="minorHAnsi"/>
          <w:color w:val="000000"/>
        </w:rPr>
        <w:t>Sindziango</w:t>
      </w:r>
      <w:proofErr w:type="spellEnd"/>
      <w:r w:rsidRPr="00536624">
        <w:rPr>
          <w:rFonts w:eastAsia="Times New Roman" w:cstheme="minorHAnsi"/>
          <w:color w:val="000000"/>
        </w:rPr>
        <w:t xml:space="preserve"> </w:t>
      </w:r>
      <w:proofErr w:type="spellStart"/>
      <w:r w:rsidRPr="00536624">
        <w:rPr>
          <w:rFonts w:eastAsia="Times New Roman" w:cstheme="minorHAnsi"/>
          <w:color w:val="000000"/>
        </w:rPr>
        <w:t>uigūrų</w:t>
      </w:r>
      <w:proofErr w:type="spellEnd"/>
      <w:r w:rsidRPr="00536624">
        <w:rPr>
          <w:rFonts w:eastAsia="Times New Roman" w:cstheme="minorHAnsi"/>
          <w:color w:val="000000"/>
        </w:rPr>
        <w:t xml:space="preserve"> autonominio regiono (XUAR), pabėgo iš savo kilmės šalies ir galiausiai apsistojo Turkijoje. 2017 metais ėmus gerėti ryšiams tarp Turkijos ir Kinijos, Turkijos valdžios institucijos pradėjo deportuoti šalyje esančius </w:t>
      </w:r>
      <w:proofErr w:type="spellStart"/>
      <w:r w:rsidRPr="00536624">
        <w:rPr>
          <w:rFonts w:eastAsia="Times New Roman" w:cstheme="minorHAnsi"/>
          <w:color w:val="000000"/>
        </w:rPr>
        <w:t>uigūrus</w:t>
      </w:r>
      <w:proofErr w:type="spellEnd"/>
      <w:r w:rsidRPr="00536624">
        <w:rPr>
          <w:rFonts w:eastAsia="Times New Roman" w:cstheme="minorHAnsi"/>
          <w:color w:val="000000"/>
        </w:rPr>
        <w:t xml:space="preserve"> atgal į Kiniją. Dėl šios priežasties pareiškėjai bandė išvykti iš Turkijos ir 2017 m. liepos mėnesį buvo sulaikyti neteisėtai k</w:t>
      </w:r>
      <w:r w:rsidR="00536624">
        <w:rPr>
          <w:rFonts w:eastAsia="Times New Roman" w:cstheme="minorHAnsi"/>
          <w:color w:val="000000"/>
        </w:rPr>
        <w:t xml:space="preserve">ertant </w:t>
      </w:r>
      <w:r w:rsidRPr="00536624">
        <w:rPr>
          <w:rFonts w:eastAsia="Times New Roman" w:cstheme="minorHAnsi"/>
          <w:color w:val="000000"/>
        </w:rPr>
        <w:t>Bulgarijos sieną. Pasienio policija pareiškėjų atžvilgiu priėmė sprendimus grąžinti į kilmės valstybę, tranzitinę valstybę arba trečiąją valstybę. Pareiškėjai pripažino padarę nusižengimą neteisėtai atvykdami į Bulgariją ir sutiko atlikti sutrumpintas bausmes kalėjime bei sumokėti baudą.</w:t>
      </w:r>
      <w:r w:rsidR="00536624">
        <w:rPr>
          <w:rFonts w:eastAsia="Times New Roman" w:cstheme="minorHAnsi"/>
          <w:color w:val="000000"/>
        </w:rPr>
        <w:t xml:space="preserve"> </w:t>
      </w:r>
    </w:p>
    <w:p w14:paraId="01FA9D6B" w14:textId="0A71E126" w:rsidR="00783BB3" w:rsidRPr="003A516F" w:rsidRDefault="00783BB3" w:rsidP="00783BB3">
      <w:pPr>
        <w:pBdr>
          <w:top w:val="nil"/>
          <w:left w:val="nil"/>
          <w:bottom w:val="nil"/>
          <w:right w:val="nil"/>
          <w:between w:val="nil"/>
        </w:pBdr>
        <w:tabs>
          <w:tab w:val="left" w:pos="851"/>
        </w:tabs>
        <w:spacing w:after="0" w:line="240" w:lineRule="auto"/>
        <w:ind w:firstLine="567"/>
        <w:jc w:val="both"/>
        <w:rPr>
          <w:rFonts w:eastAsia="Times New Roman" w:cstheme="minorHAnsi"/>
          <w:color w:val="000000"/>
        </w:rPr>
      </w:pPr>
      <w:r w:rsidRPr="003A516F">
        <w:rPr>
          <w:rFonts w:eastAsia="Times New Roman" w:cstheme="minorHAnsi"/>
          <w:color w:val="000000"/>
        </w:rPr>
        <w:t xml:space="preserve">2017 m. </w:t>
      </w:r>
      <w:r>
        <w:rPr>
          <w:rFonts w:eastAsia="Times New Roman" w:cstheme="minorHAnsi"/>
          <w:color w:val="000000"/>
        </w:rPr>
        <w:t>gruodį</w:t>
      </w:r>
      <w:r w:rsidRPr="003A516F">
        <w:rPr>
          <w:rFonts w:eastAsia="Times New Roman" w:cstheme="minorHAnsi"/>
          <w:color w:val="000000"/>
        </w:rPr>
        <w:t xml:space="preserve"> pareiškėjai padavė prašymus suteikti prieglobstį, tačiau jų prašymai buvo atmesti. Nacionalinis teismas netenkino pareiškėjų skundų dėl sprendimo nesuteikti jiems prieglobsčio</w:t>
      </w:r>
      <w:r>
        <w:rPr>
          <w:rFonts w:eastAsia="Times New Roman" w:cstheme="minorHAnsi"/>
          <w:color w:val="000000"/>
        </w:rPr>
        <w:t xml:space="preserve"> nurodęs, jog pareiškėjai neįrodė, kad</w:t>
      </w:r>
      <w:r w:rsidRPr="003A516F">
        <w:rPr>
          <w:rFonts w:eastAsia="Times New Roman" w:cstheme="minorHAnsi"/>
          <w:color w:val="000000"/>
        </w:rPr>
        <w:t xml:space="preserve"> jie buvo persekiojami kilmės valstybėje arba jiems gresia toks persekiojimas, jų prašymai buvo grindžiami bendromis žinomomis aplinkybėmis apie padėtį XUAR. 2018 m. </w:t>
      </w:r>
      <w:r>
        <w:rPr>
          <w:rFonts w:eastAsia="Times New Roman" w:cstheme="minorHAnsi"/>
          <w:color w:val="000000"/>
        </w:rPr>
        <w:t>sausio mėnesį</w:t>
      </w:r>
      <w:r w:rsidRPr="003A516F">
        <w:rPr>
          <w:rFonts w:eastAsia="Times New Roman" w:cstheme="minorHAnsi"/>
          <w:color w:val="000000"/>
        </w:rPr>
        <w:t xml:space="preserve"> buvo priimti sprendimai dėl pareiškėjų išsiuntimo valstybės saugumo pagrindu, Vyriausiasis administracinis teismas </w:t>
      </w:r>
      <w:r>
        <w:rPr>
          <w:rFonts w:eastAsia="Times New Roman" w:cstheme="minorHAnsi"/>
          <w:color w:val="000000"/>
        </w:rPr>
        <w:t xml:space="preserve">pareiškėjų skundus dėl šių sprendimų </w:t>
      </w:r>
      <w:r w:rsidRPr="003A516F">
        <w:rPr>
          <w:rFonts w:eastAsia="Times New Roman" w:cstheme="minorHAnsi"/>
          <w:color w:val="000000"/>
        </w:rPr>
        <w:t xml:space="preserve">atmetė. </w:t>
      </w:r>
    </w:p>
    <w:p w14:paraId="057B650E" w14:textId="0819A8B0" w:rsidR="00351D5B" w:rsidRPr="00536624" w:rsidRDefault="00351D5B" w:rsidP="00085E79">
      <w:pPr>
        <w:spacing w:after="0" w:line="240" w:lineRule="auto"/>
        <w:ind w:firstLine="567"/>
        <w:jc w:val="both"/>
        <w:rPr>
          <w:rFonts w:eastAsia="Times New Roman" w:cstheme="minorHAnsi"/>
          <w:color w:val="000000"/>
        </w:rPr>
      </w:pPr>
      <w:r w:rsidRPr="00536624">
        <w:rPr>
          <w:rFonts w:cstheme="minorHAnsi"/>
        </w:rPr>
        <w:t xml:space="preserve">Remdamiesi Konvencijos 2 ir 3 straipsnio pažeidimais, pareiškėjai kreipėsi į Teismą. </w:t>
      </w:r>
      <w:r w:rsidRPr="00536624">
        <w:rPr>
          <w:rFonts w:eastAsia="Times New Roman" w:cstheme="minorHAnsi"/>
          <w:color w:val="000000"/>
        </w:rPr>
        <w:t>Pirmasis ir penktasis pareiškėjai išvyko iš Bulgarijos ir nus</w:t>
      </w:r>
      <w:r w:rsidR="00536624">
        <w:rPr>
          <w:rFonts w:eastAsia="Times New Roman" w:cstheme="minorHAnsi"/>
          <w:color w:val="000000"/>
        </w:rPr>
        <w:t xml:space="preserve">prendė nebetęsti proceso Teisme. </w:t>
      </w:r>
      <w:r w:rsidR="00085E79" w:rsidRPr="003A516F">
        <w:rPr>
          <w:rFonts w:cstheme="minorHAnsi"/>
        </w:rPr>
        <w:t>Pareiškėjų išsiuntimas sustabdy</w:t>
      </w:r>
      <w:r w:rsidR="000E3F53">
        <w:rPr>
          <w:rFonts w:cstheme="minorHAnsi"/>
        </w:rPr>
        <w:t>tas tik Teismo sprendimu taikant</w:t>
      </w:r>
      <w:r w:rsidR="00085E79" w:rsidRPr="003A516F">
        <w:rPr>
          <w:rFonts w:cstheme="minorHAnsi"/>
        </w:rPr>
        <w:t xml:space="preserve"> laikinąsias apsaugos priemones pagal Teismo taisyklių 39 straipsnį.</w:t>
      </w:r>
    </w:p>
    <w:p w14:paraId="69E0831B" w14:textId="77777777" w:rsidR="00351D5B" w:rsidRPr="00536624" w:rsidRDefault="00351D5B" w:rsidP="00351D5B">
      <w:pPr>
        <w:spacing w:after="0" w:line="240" w:lineRule="auto"/>
        <w:ind w:right="-1" w:firstLine="567"/>
        <w:jc w:val="both"/>
        <w:rPr>
          <w:rFonts w:eastAsia="Times New Roman" w:cstheme="minorHAnsi"/>
          <w:color w:val="000000"/>
        </w:rPr>
      </w:pPr>
    </w:p>
    <w:p w14:paraId="6512856A"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12950ED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03D87D1" w14:textId="7E5FB127" w:rsidR="00436638"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pažymėjo, jog problemos, kurias kelia pareiškėjai, pagal Konvencijos 2 ir 3 straipsnius yra neatsiejamos. Pagrindiniai principai, kylantys iš Konvencijos 3 straipsnio, susiję su užsieniečių išsiuntimu, apibendrinti 2016 m. rugpjūčio 23 d. sprendime </w:t>
      </w:r>
      <w:r w:rsidRPr="00536624">
        <w:rPr>
          <w:rFonts w:eastAsia="Times New Roman" w:cstheme="minorHAnsi"/>
          <w:i/>
          <w:color w:val="000000"/>
        </w:rPr>
        <w:t>J. K. ir kiti prieš Švediją</w:t>
      </w:r>
      <w:r w:rsidRPr="00536624">
        <w:rPr>
          <w:rFonts w:eastAsia="Times New Roman" w:cstheme="minorHAnsi"/>
          <w:iCs/>
          <w:color w:val="000000"/>
        </w:rPr>
        <w:t xml:space="preserve"> (pareiškimo Nr. 59166/12)</w:t>
      </w:r>
      <w:r w:rsidRPr="00536624">
        <w:rPr>
          <w:rFonts w:eastAsia="Times New Roman" w:cstheme="minorHAnsi"/>
          <w:color w:val="000000"/>
        </w:rPr>
        <w:t xml:space="preserve">, jie taikytini ir Konvencijos 2 straipsnio atžvilgiu. Konvencijos nuostatos, absoliučiai draudžiančios kankinimą, nežmonišką ir orumą žeminantį elgesį ar bausmę, taikytinos ir tais atvejais, kai asmuo įtariamas turintis ryšių su teroristinėmis organizacijomis. Atsižvelgiant į tai, klausimas, ar pareiškėjai kelia grėsmę Bulgarijos nacionaliniam saugumui, nėra reikšmingas Teismo tyrimui. Nagrinėjamu atveju būtina nustatyti, ar yra pakankamas pagrindas pripažinti, kad, įvykdžius sprendimus pareiškėjus grąžinti ar išsiųsti į Kiniją, egzistuoja reali grėsmė, jog jie patirs netinkamą elgesį ar mirtį. Nacionalinės valdžios institucijos, teismai nenustatė tokios grėsmės: pareiškėjai neįrodė, jog jie paliko Kiniją, nes buvo persekiojami dėl jų etninės priklausomybės ar religijos; jie įgijo išsilavinimą ir </w:t>
      </w:r>
      <w:r w:rsidR="00657F91">
        <w:rPr>
          <w:rFonts w:eastAsia="Times New Roman" w:cstheme="minorHAnsi"/>
          <w:color w:val="000000"/>
        </w:rPr>
        <w:t>įprastai</w:t>
      </w:r>
      <w:r w:rsidRPr="00536624">
        <w:rPr>
          <w:rFonts w:eastAsia="Times New Roman" w:cstheme="minorHAnsi"/>
          <w:color w:val="000000"/>
        </w:rPr>
        <w:t xml:space="preserve"> gyveno, bet pažeidė įstatymus; Kinijos valdžios institucijos ėmėsi antiteroristinių veiksmų prieš </w:t>
      </w:r>
      <w:proofErr w:type="spellStart"/>
      <w:r w:rsidRPr="00536624">
        <w:rPr>
          <w:rFonts w:eastAsia="Times New Roman" w:cstheme="minorHAnsi"/>
          <w:color w:val="000000"/>
        </w:rPr>
        <w:t>uigūrų</w:t>
      </w:r>
      <w:proofErr w:type="spellEnd"/>
      <w:r w:rsidRPr="00536624">
        <w:rPr>
          <w:rFonts w:eastAsia="Times New Roman" w:cstheme="minorHAnsi"/>
          <w:color w:val="000000"/>
        </w:rPr>
        <w:t xml:space="preserve"> separatistų smurtą. </w:t>
      </w:r>
    </w:p>
    <w:p w14:paraId="58C7B5D4" w14:textId="77777777" w:rsidR="00F5434D"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Teismo vertinimu, Vyriausiasis administracinis teismas nepagrįstai neišanalizavo pareiškėjų teiginių, jog išsiuntimo atveju jie patirs netinkamą elgesį. Iš Teismui pateiktos informacijos matyti, kad Kinijos valdžios institucijos „reedukacijos stovyklose“ yra sulaikiusios šimtus tūkstančių arba galbūt milijonus </w:t>
      </w:r>
      <w:proofErr w:type="spellStart"/>
      <w:r w:rsidRPr="00536624">
        <w:rPr>
          <w:rFonts w:eastAsia="Times New Roman" w:cstheme="minorHAnsi"/>
          <w:color w:val="000000"/>
        </w:rPr>
        <w:t>uigūrų</w:t>
      </w:r>
      <w:proofErr w:type="spellEnd"/>
      <w:r w:rsidRPr="00536624">
        <w:rPr>
          <w:rFonts w:eastAsia="Times New Roman" w:cstheme="minorHAnsi"/>
          <w:color w:val="000000"/>
        </w:rPr>
        <w:t xml:space="preserve">, šiose stovyklose užfiksuoti netinkamo elgesio ir kankinimo atvejai, net nužudymai. Represiniai valstybės veiksmai prieš </w:t>
      </w:r>
      <w:proofErr w:type="spellStart"/>
      <w:r w:rsidRPr="00536624">
        <w:rPr>
          <w:rFonts w:eastAsia="Times New Roman" w:cstheme="minorHAnsi"/>
          <w:color w:val="000000"/>
        </w:rPr>
        <w:t>uigūrus</w:t>
      </w:r>
      <w:proofErr w:type="spellEnd"/>
      <w:r w:rsidRPr="00536624">
        <w:rPr>
          <w:rFonts w:eastAsia="Times New Roman" w:cstheme="minorHAnsi"/>
          <w:color w:val="000000"/>
        </w:rPr>
        <w:t xml:space="preserve"> yra grindžiami poreikiu kovoti su terorizmu ir ekstremizmu, įtarimai dėl separatizmo ar keliamos grėsmės valstybės saugumui gali lemti ilgas laisvės atėmimo bausmes arba mirties bausmę be teisminio proceso. Remiantis oficialiais pranešimais, daugelis į Kiniją grįžusių ar grąžintų </w:t>
      </w:r>
      <w:proofErr w:type="spellStart"/>
      <w:r w:rsidRPr="00536624">
        <w:rPr>
          <w:rFonts w:eastAsia="Times New Roman" w:cstheme="minorHAnsi"/>
          <w:color w:val="000000"/>
        </w:rPr>
        <w:t>uigūrų</w:t>
      </w:r>
      <w:proofErr w:type="spellEnd"/>
      <w:r w:rsidRPr="00536624">
        <w:rPr>
          <w:rFonts w:eastAsia="Times New Roman" w:cstheme="minorHAnsi"/>
          <w:color w:val="000000"/>
        </w:rPr>
        <w:t xml:space="preserve"> buvo sulaikyti minėtose „reedukacijos stovyklose“ arba patyrė kitokią įkalinimo ar netinkamo elgesio riziką, pavyzdž</w:t>
      </w:r>
      <w:r w:rsidR="00F5434D">
        <w:rPr>
          <w:rFonts w:eastAsia="Times New Roman" w:cstheme="minorHAnsi"/>
          <w:color w:val="000000"/>
        </w:rPr>
        <w:t xml:space="preserve">iui, 6 iš Turkijos grąžinti </w:t>
      </w:r>
      <w:proofErr w:type="spellStart"/>
      <w:r w:rsidR="00F5434D">
        <w:rPr>
          <w:rFonts w:eastAsia="Times New Roman" w:cstheme="minorHAnsi"/>
          <w:color w:val="000000"/>
        </w:rPr>
        <w:t>uigū</w:t>
      </w:r>
      <w:r w:rsidRPr="00536624">
        <w:rPr>
          <w:rFonts w:eastAsia="Times New Roman" w:cstheme="minorHAnsi"/>
          <w:color w:val="000000"/>
        </w:rPr>
        <w:t>rai</w:t>
      </w:r>
      <w:proofErr w:type="spellEnd"/>
      <w:r w:rsidRPr="00536624">
        <w:rPr>
          <w:rFonts w:eastAsia="Times New Roman" w:cstheme="minorHAnsi"/>
          <w:color w:val="000000"/>
        </w:rPr>
        <w:t xml:space="preserve"> buvo įkalinti neapibrėžtų kaltinimų pagrindu. Ištyręs gautus duomenis apie </w:t>
      </w:r>
      <w:proofErr w:type="spellStart"/>
      <w:r w:rsidRPr="00536624">
        <w:rPr>
          <w:rFonts w:eastAsia="Times New Roman" w:cstheme="minorHAnsi"/>
          <w:color w:val="000000"/>
        </w:rPr>
        <w:t>uigūrų</w:t>
      </w:r>
      <w:proofErr w:type="spellEnd"/>
      <w:r w:rsidRPr="00536624">
        <w:rPr>
          <w:rFonts w:eastAsia="Times New Roman" w:cstheme="minorHAnsi"/>
          <w:color w:val="000000"/>
        </w:rPr>
        <w:t xml:space="preserve"> padėtį Kinijoje, Teismas padarė išvadą, jog bendra situacija </w:t>
      </w:r>
      <w:proofErr w:type="spellStart"/>
      <w:r w:rsidRPr="00536624">
        <w:rPr>
          <w:rFonts w:eastAsia="Times New Roman" w:cstheme="minorHAnsi"/>
          <w:color w:val="000000"/>
        </w:rPr>
        <w:t>XUAR‘e</w:t>
      </w:r>
      <w:proofErr w:type="spellEnd"/>
      <w:r w:rsidRPr="00536624">
        <w:rPr>
          <w:rFonts w:eastAsia="Times New Roman" w:cstheme="minorHAnsi"/>
          <w:color w:val="000000"/>
        </w:rPr>
        <w:t xml:space="preserve"> ir pareiškėjų individualios aplinkybės (konkrečiai tai, kad jie buvo įtariami terorizmu ir pabėgo iš Kinijos) sudaro pakankamą pagrindą manyti, jog, jei pareiškėjai </w:t>
      </w:r>
      <w:r w:rsidRPr="00536624">
        <w:rPr>
          <w:rFonts w:eastAsia="Times New Roman" w:cstheme="minorHAnsi"/>
          <w:color w:val="000000"/>
        </w:rPr>
        <w:lastRenderedPageBreak/>
        <w:t xml:space="preserve">būtų grąžinti į kilmės valstybę, jie patirtų savavališko sulaikymo ir įkalinimo, taip pat netinkamo elgesio ir netgi mirties riziką. </w:t>
      </w:r>
    </w:p>
    <w:p w14:paraId="7B675E6A" w14:textId="5CC6F64D"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atkreipė dėmesį į tai, kad nei pirminiame, nei vėlesniame sprendimuose dėl </w:t>
      </w:r>
      <w:r w:rsidR="00F5434D">
        <w:rPr>
          <w:rFonts w:eastAsia="Times New Roman" w:cstheme="minorHAnsi"/>
          <w:color w:val="000000"/>
        </w:rPr>
        <w:t>pareiškėjų</w:t>
      </w:r>
      <w:r w:rsidRPr="00536624">
        <w:rPr>
          <w:rFonts w:eastAsia="Times New Roman" w:cstheme="minorHAnsi"/>
          <w:color w:val="000000"/>
        </w:rPr>
        <w:t xml:space="preserve"> išsiuntimo nebuvo minima konkreti valstybė, tačiau, pareiškėjų teigimu, buvo vertinama tik galimybė juos grąžinti į Kiniją. Vyriausiasis administracinis teismas laikė, kad sprendimas išsiųsti pareiškėjus į konkrečią valstybę turėtų būti priimtas ir rizikos pareiškėjams toje konkrečioje valstybėje įvertintos sprendimo dėl išsiuntimo vykdymo procese, tačiau Teismas atkreipė dėmesį į jau anksčiau išreikštą kritiką dėl tokios pozicijos (2011 m. spalio 11 d. sprendimas </w:t>
      </w:r>
      <w:proofErr w:type="spellStart"/>
      <w:r w:rsidRPr="00536624">
        <w:rPr>
          <w:rFonts w:eastAsia="Times New Roman" w:cstheme="minorHAnsi"/>
          <w:i/>
          <w:iCs/>
          <w:color w:val="000000"/>
        </w:rPr>
        <w:t>Auad</w:t>
      </w:r>
      <w:proofErr w:type="spellEnd"/>
      <w:r w:rsidRPr="00536624">
        <w:rPr>
          <w:rFonts w:eastAsia="Times New Roman" w:cstheme="minorHAnsi"/>
          <w:i/>
          <w:iCs/>
          <w:color w:val="000000"/>
        </w:rPr>
        <w:t xml:space="preserve"> prieš Bulgariją</w:t>
      </w:r>
      <w:r w:rsidRPr="00536624">
        <w:rPr>
          <w:rFonts w:eastAsia="Times New Roman" w:cstheme="minorHAnsi"/>
          <w:color w:val="000000"/>
        </w:rPr>
        <w:t xml:space="preserve"> (pareiškimo Nr. 46390/10), be kita ko, neaišku, kokiais standartais ir kokia informacija </w:t>
      </w:r>
      <w:proofErr w:type="spellStart"/>
      <w:r w:rsidRPr="00536624">
        <w:rPr>
          <w:rFonts w:eastAsia="Times New Roman" w:cstheme="minorHAnsi"/>
          <w:color w:val="000000"/>
        </w:rPr>
        <w:t>remdamosis</w:t>
      </w:r>
      <w:proofErr w:type="spellEnd"/>
      <w:r w:rsidRPr="00536624">
        <w:rPr>
          <w:rFonts w:eastAsia="Times New Roman" w:cstheme="minorHAnsi"/>
          <w:color w:val="000000"/>
        </w:rPr>
        <w:t xml:space="preserve"> valdžios institucijos įvertintų tikėtiną riziką ir parinktų konkrečią trečiąją valstybę. Nagrinėjamu atveju nėra jokių efektyvių garantijų, kad repatriacijos ar išsiuntimo atveju pareiškėjai nebus grąžinti į Kiniją. Atsižvelgdamas į anksčiau padarytą išvadą, kad pareiškėjai grąžinimo į kilmės valstybę atveju nebūtų saugūs, Teismas konstatavo, jog pareiškėjų grąžinimas į Kiniją būtų nesuderinamas su Konvencijos 2 ir 3 straipsniais.</w:t>
      </w:r>
    </w:p>
    <w:p w14:paraId="479E0291"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3D54A79" w14:textId="77777777" w:rsidR="00351D5B" w:rsidRPr="00536624" w:rsidRDefault="00351D5B" w:rsidP="00351D5B">
      <w:pPr>
        <w:spacing w:after="0" w:line="240" w:lineRule="auto"/>
        <w:ind w:right="-1" w:firstLine="567"/>
        <w:jc w:val="both"/>
        <w:rPr>
          <w:rFonts w:cstheme="minorHAnsi"/>
        </w:rPr>
      </w:pPr>
      <w:r w:rsidRPr="00536624">
        <w:rPr>
          <w:rFonts w:cstheme="minorHAnsi"/>
        </w:rPr>
        <w:t>Išvada: jeigu antrasis, trečiasis ir ketvirtasis pareiškėjai bus grąžinti į Kiniją, tai lems Konvencijos 2 ir 3 straipsnio pažeidimą (vienbalsiai).</w:t>
      </w:r>
    </w:p>
    <w:p w14:paraId="7896B69B" w14:textId="77777777" w:rsidR="00351D5B" w:rsidRPr="00536624" w:rsidRDefault="00267716" w:rsidP="00351D5B">
      <w:pPr>
        <w:spacing w:after="0" w:line="240" w:lineRule="auto"/>
        <w:ind w:right="-1" w:firstLine="567"/>
        <w:jc w:val="both"/>
        <w:rPr>
          <w:rFonts w:cstheme="minorHAnsi"/>
        </w:rPr>
      </w:pPr>
      <w:hyperlink r:id="rId10" w:anchor="{&quot;itemid&quot;:[&quot;001-201351&quot;]}" w:history="1">
        <w:r w:rsidR="00351D5B" w:rsidRPr="00536624">
          <w:rPr>
            <w:rFonts w:cstheme="minorHAnsi"/>
            <w:color w:val="0000FF"/>
            <w:u w:val="single"/>
          </w:rPr>
          <w:t>Prieiga internete</w:t>
        </w:r>
      </w:hyperlink>
    </w:p>
    <w:p w14:paraId="48E8506B"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1361F94F"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kovo 24 d. sprendimas byloje</w:t>
      </w:r>
    </w:p>
    <w:p w14:paraId="30A5F669" w14:textId="77777777" w:rsidR="00351D5B" w:rsidRPr="00536624" w:rsidRDefault="00351D5B" w:rsidP="003460C1">
      <w:pPr>
        <w:pStyle w:val="Antrat2"/>
        <w:jc w:val="center"/>
        <w:rPr>
          <w:i/>
        </w:rPr>
      </w:pPr>
      <w:bookmarkStart w:id="3" w:name="_Toc52184418"/>
      <w:r w:rsidRPr="00536624">
        <w:rPr>
          <w:i/>
        </w:rPr>
        <w:t xml:space="preserve">Marius </w:t>
      </w:r>
      <w:proofErr w:type="spellStart"/>
      <w:r w:rsidRPr="00536624">
        <w:rPr>
          <w:i/>
        </w:rPr>
        <w:t>Alexandru</w:t>
      </w:r>
      <w:proofErr w:type="spellEnd"/>
      <w:r w:rsidRPr="00536624">
        <w:rPr>
          <w:i/>
        </w:rPr>
        <w:t xml:space="preserve"> ir </w:t>
      </w:r>
      <w:proofErr w:type="spellStart"/>
      <w:r w:rsidRPr="00536624">
        <w:rPr>
          <w:i/>
        </w:rPr>
        <w:t>Marinela</w:t>
      </w:r>
      <w:proofErr w:type="spellEnd"/>
      <w:r w:rsidRPr="00536624">
        <w:rPr>
          <w:i/>
        </w:rPr>
        <w:t xml:space="preserve"> </w:t>
      </w:r>
      <w:proofErr w:type="spellStart"/>
      <w:r w:rsidRPr="00536624">
        <w:rPr>
          <w:i/>
        </w:rPr>
        <w:t>Ștefan</w:t>
      </w:r>
      <w:proofErr w:type="spellEnd"/>
      <w:r w:rsidRPr="00536624">
        <w:rPr>
          <w:i/>
        </w:rPr>
        <w:t xml:space="preserve"> prieš Rumuniją</w:t>
      </w:r>
      <w:bookmarkEnd w:id="3"/>
    </w:p>
    <w:p w14:paraId="69EAE226"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78643/11, svarbos lygis – 2)</w:t>
      </w:r>
    </w:p>
    <w:p w14:paraId="72F2BAFF"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64FCB7C1" w14:textId="77777777" w:rsidR="00351D5B" w:rsidRPr="00536624" w:rsidRDefault="00351D5B" w:rsidP="005D6E08">
      <w:pPr>
        <w:pStyle w:val="Antrat3"/>
        <w:ind w:firstLine="567"/>
        <w:jc w:val="both"/>
      </w:pPr>
      <w:bookmarkStart w:id="4" w:name="_Toc52184419"/>
      <w:r w:rsidRPr="00536624">
        <w:t>Dėl nesugebėjimo nustatyti medžio išvirtimo, lėmusio mirtiną eismo įvykį, priežastis ir tikėtino valstybės institucijų aplaidumo</w:t>
      </w:r>
      <w:bookmarkEnd w:id="4"/>
    </w:p>
    <w:p w14:paraId="4E224F57"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54A897C"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67891B75"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1EF474D" w14:textId="30F2E38F"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2007 m. rugpjūčio 6 d. pareiškėjai (vyras ir žmona) važiavo automobiliu, kai ant kelio užvirtus medžiui, pareiškėjos tėvai ir brolis žuvo iškart, o pareiškėjai patyrė sunkius sužalojimus. Policija pradėjo tyrimą, dėl kurio vilkinimo pareiškėjas pateikė skundą, tač</w:t>
      </w:r>
      <w:r w:rsidR="006E7305">
        <w:rPr>
          <w:rFonts w:eastAsia="Times New Roman" w:cstheme="minorHAnsi"/>
          <w:color w:val="000000"/>
        </w:rPr>
        <w:t>iau prokuroras atmetė šį skundą</w:t>
      </w:r>
      <w:r w:rsidRPr="00536624">
        <w:rPr>
          <w:rFonts w:eastAsia="Times New Roman" w:cstheme="minorHAnsi"/>
          <w:color w:val="000000"/>
        </w:rPr>
        <w:t xml:space="preserve"> pažymėdamas, jog kelių policija ėmėsi reikalingų tyrimo veiksmų, o tyrimo trukmę lėmė tai, kad ekspertizė buvo užbaigta tik 2009 m. balandžio mėn. Pro</w:t>
      </w:r>
      <w:r w:rsidR="006E7305">
        <w:rPr>
          <w:rFonts w:eastAsia="Times New Roman" w:cstheme="minorHAnsi"/>
          <w:color w:val="000000"/>
        </w:rPr>
        <w:t>kuroras 2010 m. nutraukė tyrimą, o tokio</w:t>
      </w:r>
      <w:r w:rsidRPr="00536624">
        <w:rPr>
          <w:rFonts w:eastAsia="Times New Roman" w:cstheme="minorHAnsi"/>
          <w:color w:val="000000"/>
        </w:rPr>
        <w:t xml:space="preserve"> sprendimo teisėtumas ir pagrįstumas vėliau </w:t>
      </w:r>
      <w:r w:rsidR="00010266">
        <w:rPr>
          <w:rFonts w:eastAsia="Times New Roman" w:cstheme="minorHAnsi"/>
          <w:color w:val="000000"/>
        </w:rPr>
        <w:t xml:space="preserve">buvo </w:t>
      </w:r>
      <w:r w:rsidRPr="00536624">
        <w:rPr>
          <w:rFonts w:eastAsia="Times New Roman" w:cstheme="minorHAnsi"/>
          <w:color w:val="000000"/>
        </w:rPr>
        <w:t>patvirtintas vyriausiojo prokuroro bei pirmosios instancijos teismo. Vėl</w:t>
      </w:r>
      <w:r w:rsidR="005F54A2">
        <w:rPr>
          <w:rFonts w:eastAsia="Times New Roman" w:cstheme="minorHAnsi"/>
          <w:color w:val="000000"/>
        </w:rPr>
        <w:t>esni</w:t>
      </w:r>
      <w:r w:rsidRPr="00536624">
        <w:rPr>
          <w:rFonts w:eastAsia="Times New Roman" w:cstheme="minorHAnsi"/>
          <w:color w:val="000000"/>
        </w:rPr>
        <w:t xml:space="preserve"> skundai lėmė, jog tyrimai buvo vis atnaujinti ir vėl nutraukti, ir tai tęsėsi iki 2016 m.</w:t>
      </w:r>
    </w:p>
    <w:p w14:paraId="238F08C0"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Remdamiesi Konvencijos 2 straipsniu, pareiškėjai kreipėsi į Teismą, skųsdamiesi tuo, jog valstybė neįvykdė pareigos apsaugoti gyvybes, be to, tyrimas, siekiant nustatyti atsakingus už avariją asmenis, truko nepagrįstai ilgai.</w:t>
      </w:r>
    </w:p>
    <w:p w14:paraId="414F74EF"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045BDBB"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2E8C7EA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EE3D70F" w14:textId="278CC6E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pažymėjo, jog valstybė, vykdydama savo pozityvią pareigą ginti teisę į gyvybę, taip pat turi užtikrinti, kad mirties ar potencialiai mirtino sužeidimo atveju efektyvi ir nepriklausoma teisinė sistema sudarys sąlygas greitai nustatyti faktus, imtis priemonių prieš atsakingus asmenis ir suteikti nukentėjusiesiems adekvačią kompensaciją. Nagrinėjamu atveju ikiteisminis tyrimas buvo pradėtas įvykio dieną, tačiau tyrimas nuo pat pradžių turėjo trūkumų, pavyzdžiui, atsakingos institucijos neįvykdė pareigos surinkti esminius įrodymus ir juos išsaugoti. Dėl šių priežasčių ekspertai negalėjo padaryti išvadų apie medžio išvirtimo priežastis, o prokuroras – ištirti tikėtiną valstybės įstaigų aplaidumą. Kelių policijos atlikto tyrimo metu, iki perduodant bylą prokurorui 2009 m. liepos mėnesį, per dvejus metus buvo imtasi vos kelių priemonių įvykiui ištirti, nebuvo identifikuoti atsakingi asmenys (išskyrus suniokoto automobilio vairuotoją). Ne vieną ikiteisminio tyrimo trūkumą nustatė patys nacionaliniai teismai, </w:t>
      </w:r>
      <w:r w:rsidR="006E7305">
        <w:rPr>
          <w:rFonts w:eastAsia="Times New Roman" w:cstheme="minorHAnsi"/>
          <w:color w:val="000000"/>
        </w:rPr>
        <w:t xml:space="preserve">o </w:t>
      </w:r>
      <w:r w:rsidRPr="00536624">
        <w:rPr>
          <w:rFonts w:eastAsia="Times New Roman" w:cstheme="minorHAnsi"/>
          <w:color w:val="000000"/>
        </w:rPr>
        <w:t xml:space="preserve">pirmą kartą atnaujinus tyrimą teismo nustatyti trūkumai nebuvo ištaisyti. Ikiteisminį tyrimą atlikusios institucijos nesiekė tiksliai nustatyti valstybės institucijų ir jų tarnautojų vaidmens kelių saugumo srityje, tokiu būdu paliekant neaiškumų. Atitinkamai teisminės institucijos pripažino, jog įvyko nelaimingas atsitikimas, kurio nebuvo įmanoma </w:t>
      </w:r>
      <w:r w:rsidRPr="00536624">
        <w:rPr>
          <w:rFonts w:eastAsia="Times New Roman" w:cstheme="minorHAnsi"/>
          <w:color w:val="000000"/>
        </w:rPr>
        <w:lastRenderedPageBreak/>
        <w:t>numatyti. Teismas atkreipė dėmesį ir į tai, kad tyrimas užtruko daugiau nei 8 metus, nors įvykis nebuvo itin sudėtingas. Tokia tyrimo trukmė laikytina neprotinga ir buvo nulemta tyrimą atlikusių institucijų, kurios nesiėmė būtinų priemonių nei tyrimo pradžioje, nei jo eigoje. Pareiškėjai keliskart bandė atkreipti kompetentingų institucijų dėmesį į tyrimo trukmę, bet jų pastangos buvo bergždžios. Dėl galimybės pareiškėjams siekti Tiltų ir kelių direkcijos, Nacionalinės miškininkystės tarybos ar jų tarnautojų atsakomybės civiline tvarka Teismas pažymėjo, kad, atsižvelgiant į kriminalinio nuosprendžio galią (</w:t>
      </w:r>
      <w:proofErr w:type="spellStart"/>
      <w:r w:rsidRPr="00536624">
        <w:rPr>
          <w:rFonts w:eastAsia="Times New Roman" w:cstheme="minorHAnsi"/>
          <w:i/>
          <w:color w:val="000000"/>
        </w:rPr>
        <w:t>res</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judicata</w:t>
      </w:r>
      <w:proofErr w:type="spellEnd"/>
      <w:r w:rsidRPr="00536624">
        <w:rPr>
          <w:rFonts w:eastAsia="Times New Roman" w:cstheme="minorHAnsi"/>
          <w:color w:val="000000"/>
        </w:rPr>
        <w:t>) civiliniame procese, ieškinys dėl žalos atlyginimo prieš minėtus asmenis ir institucijas negalėjo būti išnagrinėtas prieš pasibaigiant baudžiamajai bylai; be to, atsižvelgiant į praėjusį laikotarpį bei tai, jog esminiai įrodymai nebuvo surinkti ir išsaugoti, kitas konkrečias šios bylos aplinkybes, reikalavimas pareiškėjams imtis naujų priemonių valstybės institucijų ir jų darbuotojų atsakomybei taikyti būtų perteklinis. Teismas, atsižvelgdamas į tai, kad Rumunijos teisinė sistema nagrinėjamu atveju neužtikrino, jog būtų nustatytas valstybės institucijų ir jų tarnautojų vaidmuo bei atsakomybė dėl ginčo įvykio, konstatavo Konv</w:t>
      </w:r>
      <w:r w:rsidR="006E7305">
        <w:rPr>
          <w:rFonts w:eastAsia="Times New Roman" w:cstheme="minorHAnsi"/>
          <w:color w:val="000000"/>
        </w:rPr>
        <w:t>encijos 2 straipsnio pažeidimą procedūriniu aspektu</w:t>
      </w:r>
      <w:r w:rsidRPr="00536624">
        <w:rPr>
          <w:rFonts w:eastAsia="Times New Roman" w:cstheme="minorHAnsi"/>
          <w:color w:val="000000"/>
        </w:rPr>
        <w:t>.</w:t>
      </w:r>
    </w:p>
    <w:p w14:paraId="65BE4718" w14:textId="7F5893ED"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akcentavo, jog iš Konvencijos 2 straipsnio kylančios pozityvios valstybės pareigos suponuoja, kad valstybė turi užtikrinti asmenų saugumą viešose erdvėse ir efektyvią reguliavimo sistemą. Šioje srityje valstybė turi plačią </w:t>
      </w:r>
      <w:proofErr w:type="spellStart"/>
      <w:r w:rsidRPr="00536624">
        <w:rPr>
          <w:rFonts w:eastAsia="Times New Roman" w:cstheme="minorHAnsi"/>
          <w:color w:val="000000"/>
        </w:rPr>
        <w:t>diskrecijos</w:t>
      </w:r>
      <w:proofErr w:type="spellEnd"/>
      <w:r w:rsidRPr="00536624">
        <w:rPr>
          <w:rFonts w:eastAsia="Times New Roman" w:cstheme="minorHAnsi"/>
          <w:color w:val="000000"/>
        </w:rPr>
        <w:t xml:space="preserve"> teisę pasirinkti priemones Konvencijoje įtvirtintoms teisėms apginti. Valstybės institucijų veiksmai (neveikimas) užtikrinant saugumą viešose erdvėse tam tikrais atvejais gali užtraukti atsakomybę pagal Konvencijos 2 straipsnį (materialiuoju aspektu). Nagrinėjamu atveju pareiga nustatyti tinkamas priemones pakelėje augantiems medžiams patikrinti, siekiant užtikrinti viešu greitkeliu besinaudojančių asmenų saugumą, teko valstybės institucijoms. Ginčo įvykio metu egzistavo teisės normos, reguliuojančios kelių saugumą ir konkrečiai</w:t>
      </w:r>
      <w:r w:rsidR="005F54A2">
        <w:rPr>
          <w:rFonts w:eastAsia="Times New Roman" w:cstheme="minorHAnsi"/>
          <w:color w:val="000000"/>
        </w:rPr>
        <w:t xml:space="preserve"> –</w:t>
      </w:r>
      <w:r w:rsidRPr="00536624">
        <w:rPr>
          <w:rFonts w:eastAsia="Times New Roman" w:cstheme="minorHAnsi"/>
          <w:color w:val="000000"/>
        </w:rPr>
        <w:t xml:space="preserve"> medžių priežiūrą bei stebėseną. Rumunija yra patvirtinusi kelis teisės aktus, įskaitant Miškininkystės įstatymą, siekdama užkirsti kelią nelaimingiems atsitikimams dėl pakelėse esanči</w:t>
      </w:r>
      <w:r w:rsidR="005F54A2">
        <w:rPr>
          <w:rFonts w:eastAsia="Times New Roman" w:cstheme="minorHAnsi"/>
          <w:color w:val="000000"/>
        </w:rPr>
        <w:t>os</w:t>
      </w:r>
      <w:r w:rsidRPr="00536624">
        <w:rPr>
          <w:rFonts w:eastAsia="Times New Roman" w:cstheme="minorHAnsi"/>
          <w:color w:val="000000"/>
        </w:rPr>
        <w:t xml:space="preserve"> aug</w:t>
      </w:r>
      <w:r w:rsidR="005F54A2">
        <w:rPr>
          <w:rFonts w:eastAsia="Times New Roman" w:cstheme="minorHAnsi"/>
          <w:color w:val="000000"/>
        </w:rPr>
        <w:t>menijos</w:t>
      </w:r>
      <w:r w:rsidRPr="00536624">
        <w:rPr>
          <w:rFonts w:eastAsia="Times New Roman" w:cstheme="minorHAnsi"/>
          <w:color w:val="000000"/>
        </w:rPr>
        <w:t>. Kai valstybės institucijos yra įtvirtinusios saugumo priemones užkirsti kelią potencialioms grėsmėms gyvybei, sugebėjimas užtikrinti šių priemonių efektyvumą yra nacionalinių teismų patikros objektas, ypač sunkių sužalojimų ar mirties atvejais. Atsižvelgdamas į tai, Teismas nenustatė pagrindo konstatuoti neteisėtus valstybės veiksmus ginant pareiškėjų teisę į gyvybę, t. y. pripažinti Konvencijos 2 straipsnio pažeidimą materialiuoju aspektu.</w:t>
      </w:r>
    </w:p>
    <w:p w14:paraId="4FBA4C18" w14:textId="77777777" w:rsidR="00351D5B" w:rsidRPr="00536624" w:rsidRDefault="00351D5B" w:rsidP="00351D5B">
      <w:pPr>
        <w:spacing w:after="0" w:line="240" w:lineRule="auto"/>
        <w:ind w:right="-1" w:firstLine="567"/>
        <w:jc w:val="both"/>
        <w:rPr>
          <w:rFonts w:cstheme="minorHAnsi"/>
        </w:rPr>
      </w:pPr>
    </w:p>
    <w:p w14:paraId="39060F88"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nustatytas </w:t>
      </w:r>
      <w:r w:rsidRPr="00536624">
        <w:rPr>
          <w:rFonts w:eastAsia="Times New Roman" w:cstheme="minorHAnsi"/>
          <w:color w:val="000000"/>
        </w:rPr>
        <w:t xml:space="preserve">Konvencijos 2 straipsnio pažeidimas procedūriniu aspektu (vienbalsiai), </w:t>
      </w:r>
      <w:r w:rsidRPr="00536624">
        <w:rPr>
          <w:rFonts w:cstheme="minorHAnsi"/>
        </w:rPr>
        <w:t>Konvencijos 2 straipsnio pažeidimas</w:t>
      </w:r>
      <w:r w:rsidRPr="00536624">
        <w:rPr>
          <w:rFonts w:eastAsia="Times New Roman" w:cstheme="minorHAnsi"/>
          <w:color w:val="000000"/>
        </w:rPr>
        <w:t xml:space="preserve"> materialiuoju aspektu nenustatytas </w:t>
      </w:r>
      <w:r w:rsidRPr="00536624">
        <w:rPr>
          <w:rFonts w:cstheme="minorHAnsi"/>
        </w:rPr>
        <w:t xml:space="preserve">(6 prieš 1). </w:t>
      </w:r>
    </w:p>
    <w:p w14:paraId="388EB3F1" w14:textId="77777777" w:rsidR="00351D5B" w:rsidRPr="00536624" w:rsidRDefault="00351D5B" w:rsidP="00351D5B">
      <w:pPr>
        <w:spacing w:after="0" w:line="240" w:lineRule="auto"/>
        <w:ind w:right="-1" w:firstLine="567"/>
        <w:jc w:val="both"/>
        <w:rPr>
          <w:rStyle w:val="sfbbfee58"/>
          <w:rFonts w:cstheme="minorHAnsi"/>
          <w:color w:val="000000"/>
        </w:rPr>
      </w:pPr>
      <w:r w:rsidRPr="00536624">
        <w:rPr>
          <w:rFonts w:cstheme="minorHAnsi"/>
        </w:rPr>
        <w:t xml:space="preserve">41 straipsnis: </w:t>
      </w:r>
      <w:r w:rsidRPr="00536624">
        <w:rPr>
          <w:rStyle w:val="sfbbfee58"/>
          <w:rFonts w:cstheme="minorHAnsi"/>
          <w:color w:val="000000"/>
        </w:rPr>
        <w:t>pareiškėjai priteista 20 000 EUR neturtinei žalai atlyginti, pareiškėjui – 5 000 EUR.</w:t>
      </w:r>
    </w:p>
    <w:p w14:paraId="5599EEBB" w14:textId="77777777" w:rsidR="00351D5B" w:rsidRPr="00536624" w:rsidRDefault="00351D5B" w:rsidP="00351D5B">
      <w:pPr>
        <w:spacing w:after="0" w:line="240" w:lineRule="auto"/>
        <w:ind w:right="-1" w:firstLine="567"/>
        <w:jc w:val="both"/>
        <w:rPr>
          <w:rFonts w:cstheme="minorHAnsi"/>
          <w:color w:val="000000"/>
        </w:rPr>
      </w:pPr>
      <w:r w:rsidRPr="00536624">
        <w:rPr>
          <w:rFonts w:cstheme="minorHAnsi"/>
          <w:color w:val="000000"/>
        </w:rPr>
        <w:t>(pateikta atskiroji nuomonė)</w:t>
      </w:r>
    </w:p>
    <w:p w14:paraId="0D684F08" w14:textId="77777777" w:rsidR="00351D5B" w:rsidRPr="00536624" w:rsidRDefault="00267716" w:rsidP="00351D5B">
      <w:pPr>
        <w:spacing w:after="0" w:line="240" w:lineRule="auto"/>
        <w:ind w:right="-1" w:firstLine="567"/>
        <w:jc w:val="both"/>
        <w:rPr>
          <w:rFonts w:cstheme="minorHAnsi"/>
        </w:rPr>
      </w:pPr>
      <w:hyperlink r:id="rId11" w:anchor="{&quot;itemid&quot;:[&quot;001-201867&quot;]}" w:history="1">
        <w:r w:rsidR="00351D5B" w:rsidRPr="00536624">
          <w:rPr>
            <w:rFonts w:cstheme="minorHAnsi"/>
            <w:color w:val="0000FF"/>
            <w:u w:val="single"/>
          </w:rPr>
          <w:t>Prieiga internete</w:t>
        </w:r>
      </w:hyperlink>
    </w:p>
    <w:p w14:paraId="49F7FF9C" w14:textId="77777777" w:rsidR="00536624" w:rsidRPr="00536624" w:rsidRDefault="00536624" w:rsidP="00536624">
      <w:pPr>
        <w:pStyle w:val="Antrat1"/>
        <w:rPr>
          <w:rFonts w:eastAsia="Times New Roman"/>
        </w:rPr>
      </w:pPr>
      <w:bookmarkStart w:id="5" w:name="_Toc52184420"/>
      <w:r w:rsidRPr="00536624">
        <w:rPr>
          <w:rFonts w:eastAsia="Times New Roman"/>
        </w:rPr>
        <w:t>TEISĖ Į TEISINGĄ BYLOS NAGRINĖJIMĄ (6 straipsnis)</w:t>
      </w:r>
      <w:bookmarkEnd w:id="5"/>
    </w:p>
    <w:p w14:paraId="4A15D33F" w14:textId="77777777" w:rsidR="00536624" w:rsidRPr="00536624" w:rsidRDefault="00536624" w:rsidP="00536624">
      <w:pPr>
        <w:shd w:val="clear" w:color="auto" w:fill="FFFFFF"/>
        <w:spacing w:after="0" w:line="240" w:lineRule="auto"/>
        <w:ind w:right="-1"/>
        <w:jc w:val="center"/>
        <w:rPr>
          <w:rFonts w:eastAsia="Times New Roman" w:cstheme="minorHAnsi"/>
          <w:b/>
        </w:rPr>
      </w:pPr>
    </w:p>
    <w:p w14:paraId="4255EDFB" w14:textId="77777777" w:rsidR="00536624" w:rsidRPr="00536624" w:rsidRDefault="00536624" w:rsidP="00536624">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vasario 11 d. sprendimas byloje</w:t>
      </w:r>
    </w:p>
    <w:p w14:paraId="759784B5" w14:textId="77777777" w:rsidR="00536624" w:rsidRPr="00536624" w:rsidRDefault="00536624" w:rsidP="00536624">
      <w:pPr>
        <w:pStyle w:val="Antrat2"/>
        <w:jc w:val="center"/>
        <w:rPr>
          <w:i/>
        </w:rPr>
      </w:pPr>
      <w:bookmarkStart w:id="6" w:name="_Toc52184421"/>
      <w:proofErr w:type="spellStart"/>
      <w:r w:rsidRPr="00536624">
        <w:rPr>
          <w:i/>
        </w:rPr>
        <w:t>Munteanu</w:t>
      </w:r>
      <w:proofErr w:type="spellEnd"/>
      <w:r w:rsidRPr="00536624">
        <w:rPr>
          <w:i/>
        </w:rPr>
        <w:t xml:space="preserve"> prieš Rumuniją</w:t>
      </w:r>
      <w:bookmarkEnd w:id="6"/>
    </w:p>
    <w:p w14:paraId="50CAFB61" w14:textId="77777777" w:rsidR="00536624" w:rsidRPr="00536624" w:rsidRDefault="00536624" w:rsidP="00536624">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54640/13, svarbos lygis – 2)</w:t>
      </w:r>
    </w:p>
    <w:p w14:paraId="161A9A2C" w14:textId="77777777" w:rsidR="00536624" w:rsidRPr="00536624" w:rsidRDefault="00536624" w:rsidP="00536624">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15994CF9" w14:textId="77777777" w:rsidR="00536624" w:rsidRPr="00536624" w:rsidRDefault="00536624" w:rsidP="00536624">
      <w:pPr>
        <w:pStyle w:val="Antrat3"/>
        <w:ind w:firstLine="567"/>
        <w:jc w:val="both"/>
      </w:pPr>
      <w:bookmarkStart w:id="7" w:name="_Toc52184422"/>
      <w:r w:rsidRPr="00536624">
        <w:t>Dėl reikalavimo atnaujinti civilinę bylą, kai Europos Žmogaus Teisių Teismas konstatavo Konvencijos pažeidimą</w:t>
      </w:r>
      <w:bookmarkEnd w:id="7"/>
    </w:p>
    <w:p w14:paraId="352AAEC5"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417F8BE4" w14:textId="77777777" w:rsidR="00536624" w:rsidRPr="00536624" w:rsidRDefault="00536624" w:rsidP="00536624">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552678E0"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FF81B6B" w14:textId="39F055DE"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Bukarešto apeliacinis teismas 2001 m. liepos 28 d. sprendimu pareiškėjo atleidimą iš darbo pripažino neteisėtu ir įpareigojo jį grąžinti į Nacionalinės plėtros agentūros generalinio sekretoriaus pareigas. Aukščiausiasis kasacijos ir teisingumo teismas (toliau – Aukščiausiasis Teismas) 2003 m. kovo 14 d. sprendimu pastarąjį teismo sprendimą paliko nepakeistą. Aukščiausiasis teismas 2004 m. spalio 18 d. priėmė generalinio prokuroro specialųjį pareiškimą ir panaikino 2003 m. kovo 14 d. sprendimą. Europos Žmogaus Teisių Teismas, išnagrinėjęs pareiškėjo pareiškimą, 2012 m. kovo 27 d. sprendime pripažino, jog minėti veiksmai (įsiteisėjusio teismo sprendimo panaikinimas) laikytini teisinio tikrumo principo, įtvirtinto Konvencijos 6 straipsnyje, ir pareiškėjo nuosavybės teisių, ginamų pagal Konvencijos </w:t>
      </w:r>
      <w:r w:rsidR="006E7305">
        <w:rPr>
          <w:rFonts w:eastAsia="Times New Roman" w:cstheme="minorHAnsi"/>
          <w:color w:val="000000"/>
        </w:rPr>
        <w:t xml:space="preserve">Pirmojo </w:t>
      </w:r>
      <w:r w:rsidRPr="00536624">
        <w:rPr>
          <w:rFonts w:eastAsia="Times New Roman" w:cstheme="minorHAnsi"/>
          <w:color w:val="000000"/>
        </w:rPr>
        <w:t xml:space="preserve">Protokolo 1 straipsnį, pažeidimu, bet </w:t>
      </w:r>
      <w:r w:rsidRPr="00536624">
        <w:rPr>
          <w:rFonts w:eastAsia="Times New Roman" w:cstheme="minorHAnsi"/>
          <w:color w:val="000000"/>
        </w:rPr>
        <w:lastRenderedPageBreak/>
        <w:t>nusprendė netirti, ar egzistavo Konvencijos 6 straipsnio pažeidimas dėl įsiteisėjusio teismo sprendimo (t. y. 2003 m. kovo 14 d. sprendimo) neįvykdymo; pareiškėjui priteista 38 500 EUR turtinei ir 2 000 EUR neturtinei žalai atlyginti.</w:t>
      </w:r>
    </w:p>
    <w:p w14:paraId="2C409CE2" w14:textId="1AAB8248"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Pareiškėjas, būdamas įsitikinęs, jog neigiamos pasekmės jam gali būti pašalintos tik panaikinus 2004 m. spalio 18 d. teismo sprendimą ir sudarant sąlygas jam tęsti karjerą kaip aukštam valstybės pareigūnui, kreipėsi į Aukščiausią</w:t>
      </w:r>
      <w:r w:rsidR="006E7305">
        <w:rPr>
          <w:rFonts w:eastAsia="Times New Roman" w:cstheme="minorHAnsi"/>
          <w:color w:val="000000"/>
        </w:rPr>
        <w:t>jį Teismą dėl bylos atnaujinimo. Toks pareiškėjo</w:t>
      </w:r>
      <w:r w:rsidRPr="00536624">
        <w:rPr>
          <w:rFonts w:eastAsia="Times New Roman" w:cstheme="minorHAnsi"/>
          <w:color w:val="000000"/>
        </w:rPr>
        <w:t xml:space="preserve"> prašymas nebuvo priimtas, kadangi neatitiko tokiam prašymui keliamų reikalavimų, t. y. Europos Žmogaus Teisių Teismo konstatuotas pažeidimas nesukėlė pareiškėjui didelių neigiamų pasekmių, kurios negalėtų būti kompensuotos kitais būdais, nes Teismas nusprendė netirti pareiškėjo argumentų dėl ankstesnio teismo sprendimo nevykdymo, o Teismo priteistas žalos atlyginimas laikytinas teisinga ir sąžininga kompensacija pareiškėjui. </w:t>
      </w:r>
    </w:p>
    <w:p w14:paraId="45CF48BE"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Remdamasis Konvencijos 6 straipsnio 1 dalimi pareiškėjas skundėsi Teismui dėl Aukščiausiojo Teismo atsisakymo atnaujinti procesą bei remdamasis Konvencijos 13 straipsniu skundėsi, jog neturėjo veiksmingos vidaus gynimo priemonės, galinčios pasiūlyti jam tinkamą žalos atlyginimą už neįvykdyto 2003 m. sprendimo nevykdymą.</w:t>
      </w:r>
    </w:p>
    <w:p w14:paraId="3C26752B"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A69CBCA" w14:textId="77777777" w:rsidR="00536624" w:rsidRPr="00536624" w:rsidRDefault="00536624" w:rsidP="00536624">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7BBBDB4"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8697A82"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pažymėjo, kad jo jurisprudencija, susijusi su Teismo sprendimų vykdymu bei jo kompetencija tirti naują klausimą, neišspręstą ankstesniame sprendime, buvo apibendrinta, be kita ko, 2017 m. liepos 11 d. sprendime </w:t>
      </w:r>
      <w:proofErr w:type="spellStart"/>
      <w:r w:rsidRPr="00536624">
        <w:rPr>
          <w:rFonts w:eastAsia="Times New Roman" w:cstheme="minorHAnsi"/>
          <w:i/>
          <w:color w:val="000000"/>
        </w:rPr>
        <w:t>Moreira</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Ferreira</w:t>
      </w:r>
      <w:proofErr w:type="spellEnd"/>
      <w:r w:rsidRPr="00536624">
        <w:rPr>
          <w:rFonts w:eastAsia="Times New Roman" w:cstheme="minorHAnsi"/>
          <w:i/>
          <w:color w:val="000000"/>
        </w:rPr>
        <w:t xml:space="preserve"> prieš Portugaliją (Nr. 2) </w:t>
      </w:r>
      <w:r w:rsidRPr="00536624">
        <w:rPr>
          <w:rFonts w:eastAsia="Times New Roman" w:cstheme="minorHAnsi"/>
          <w:iCs/>
          <w:color w:val="000000"/>
        </w:rPr>
        <w:t>(pareiškimo Nr. 19867/12). Nagrinėjamu atveju Teismas pastebėjo, kad iš esmės identiškus argument</w:t>
      </w:r>
      <w:r w:rsidRPr="00536624">
        <w:rPr>
          <w:rFonts w:eastAsia="Times New Roman" w:cstheme="minorHAnsi"/>
          <w:color w:val="000000"/>
        </w:rPr>
        <w:t xml:space="preserve">us dėl teismo sprendimo nevykdymo pareiškėjas buvo išdėstęs ankstesniame savo skunde. Teismas buvo nusprendęs netirti šių argumentų, kadangi tai nebebuvo būtina atsižvelgiant į jau konstatuotą Konvencijos 6 straipsnio 1 dalies pažeidimą. Pareiškėjo argumentai, susiję su Teismo 2012 m. kovo 27 d. sprendimo nevykdymu ar neveikimu ištaisant Teismo konstatuotą pažeidimą nepriskirtini Teismo kompetencijai </w:t>
      </w:r>
      <w:proofErr w:type="spellStart"/>
      <w:r w:rsidRPr="00536624">
        <w:rPr>
          <w:rFonts w:eastAsia="Times New Roman" w:cstheme="minorHAnsi"/>
          <w:i/>
          <w:color w:val="000000"/>
        </w:rPr>
        <w:t>ratione</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materiae</w:t>
      </w:r>
      <w:proofErr w:type="spellEnd"/>
      <w:r w:rsidRPr="00536624">
        <w:rPr>
          <w:rFonts w:eastAsia="Times New Roman" w:cstheme="minorHAnsi"/>
          <w:color w:val="000000"/>
        </w:rPr>
        <w:t xml:space="preserve">, tokie atvejai priskirtini Ministrų komiteto kontrolei (Konvencijos 46 str.). Atsižvelgiant į tai, šie pareiškėjo argumentai buvo atmesti Konvencijos 35 straipsnio 3 dalies a punkto ir 4 dalies pagrindu. </w:t>
      </w:r>
    </w:p>
    <w:p w14:paraId="418D9815"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nurodė, kad Konvencijos 6 straipsnio 1 dalis iš esmės netaikytina </w:t>
      </w:r>
      <w:proofErr w:type="spellStart"/>
      <w:r w:rsidRPr="00536624">
        <w:rPr>
          <w:rFonts w:eastAsia="Times New Roman" w:cstheme="minorHAnsi"/>
          <w:i/>
          <w:color w:val="000000"/>
        </w:rPr>
        <w:t>ratione</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materiae</w:t>
      </w:r>
      <w:proofErr w:type="spellEnd"/>
      <w:r w:rsidRPr="00536624">
        <w:rPr>
          <w:rFonts w:eastAsia="Times New Roman" w:cstheme="minorHAnsi"/>
          <w:color w:val="000000"/>
        </w:rPr>
        <w:t xml:space="preserve"> procesui, susijusiam su reikalavimu atnaujinti civilinę bylą po to, kai Teismas konstatavo pažeidimą. Galutinis sprendimas nacionaliniame teisme turi </w:t>
      </w:r>
      <w:proofErr w:type="spellStart"/>
      <w:r w:rsidRPr="00536624">
        <w:rPr>
          <w:rFonts w:eastAsia="Times New Roman" w:cstheme="minorHAnsi"/>
          <w:i/>
          <w:color w:val="000000"/>
        </w:rPr>
        <w:t>res</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judicata</w:t>
      </w:r>
      <w:proofErr w:type="spellEnd"/>
      <w:r w:rsidRPr="00536624">
        <w:rPr>
          <w:rFonts w:eastAsia="Times New Roman" w:cstheme="minorHAnsi"/>
          <w:color w:val="000000"/>
        </w:rPr>
        <w:t xml:space="preserve"> galią, todėl vėlesnis specialus pareiškimas ar apeliacija, siekiant peržiūrėti tokį teismo sprendimą, sudaro pagrindą prielaidai, kad egzistuoja nacionalinės teisės pripažįstama teisė arba kad procesas, kurio metu sprendžiama dėl tos pačios bylos peržiūrėjimo, turi esminę reikšmę nustatant civilines teises ir pareigas. Kita vertus, ši taisyklė turi išimčių, atsižvelgiant į konkrečios teisinės sistemos pobūdį ir ypatybes, dėl kurių procesas pagal specialųjį pareiškimą gali būti laikomas apeliacija Konvencijos 6 straipsnio 1 dalies prasme ir jam taikomi teisingo teismo saugikliai. Šios išimtys iš esmės reiškia situaciją, kai </w:t>
      </w:r>
      <w:proofErr w:type="spellStart"/>
      <w:r w:rsidRPr="00536624">
        <w:rPr>
          <w:rFonts w:eastAsia="Times New Roman" w:cstheme="minorHAnsi"/>
          <w:color w:val="000000"/>
        </w:rPr>
        <w:t>ekstraordinarios</w:t>
      </w:r>
      <w:proofErr w:type="spellEnd"/>
      <w:r w:rsidRPr="00536624">
        <w:rPr>
          <w:rFonts w:eastAsia="Times New Roman" w:cstheme="minorHAnsi"/>
          <w:color w:val="000000"/>
        </w:rPr>
        <w:t xml:space="preserve"> priemonės savaime ar ypatingomis aplinkybėmis lemia visišką bylos peržiūrėjimą arba, tam tikrais atvejais, kai procesas, nacionalinėje teisėje apibūdinamas kaip „</w:t>
      </w:r>
      <w:proofErr w:type="spellStart"/>
      <w:r w:rsidRPr="00536624">
        <w:rPr>
          <w:rFonts w:eastAsia="Times New Roman" w:cstheme="minorHAnsi"/>
          <w:color w:val="000000"/>
        </w:rPr>
        <w:t>ekstraordinarus</w:t>
      </w:r>
      <w:proofErr w:type="spellEnd"/>
      <w:r w:rsidRPr="00536624">
        <w:rPr>
          <w:rFonts w:eastAsia="Times New Roman" w:cstheme="minorHAnsi"/>
          <w:color w:val="000000"/>
        </w:rPr>
        <w:t xml:space="preserve">“ arba „išimtinis“, savo pobūdžiu ir apimtimi yra panašus įprastam apeliacijos procesui. Nagrinėjamu atveju Teismas nenustatė tokių aplinkybių. Nors ginčui aktualiu laikotarpiu Rumunijos teisė įtvirtino galimybę reikalauti atnaujinti bylą po to, kai Teismas konstatuoja Konvencijoje įtvirtintos teisės pažeidimą, tokių reikalavimų priimtinumas buvo ribotas. Pagal Rumunijos teisę, toks procesas nelaikytinas originalios (užbaigtos) civilinės bylos pratęsimu, jis aiškiai apribotas savo apimtimi, suteikiant galimybę patikrinti pagrindą atnaujinti bylą ir priimti atskirą sprendimą, priimantį ar atmetantį reikalavimą atnaujinti bylą. Šiuo atveju Aukščiausias Teismas atsisakė priimti pareiškėjo reikalavimą peržiūrėti ankstesnį teismo sprendimą, kadangi toks reikalavimas neatitiko priimtinumo kriterijų. Teismas pabrėžė, jog nagrinėjamas atvejis skiriasi nuo bylos </w:t>
      </w:r>
      <w:proofErr w:type="spellStart"/>
      <w:r w:rsidRPr="00536624">
        <w:rPr>
          <w:rFonts w:eastAsia="Times New Roman" w:cstheme="minorHAnsi"/>
          <w:i/>
          <w:color w:val="000000"/>
        </w:rPr>
        <w:t>Moreira</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Ferreira</w:t>
      </w:r>
      <w:proofErr w:type="spellEnd"/>
      <w:r w:rsidRPr="00536624">
        <w:rPr>
          <w:rFonts w:eastAsia="Times New Roman" w:cstheme="minorHAnsi"/>
          <w:color w:val="000000"/>
        </w:rPr>
        <w:t xml:space="preserve"> aplinkybių ne tik proceso prigimtini (atitinkamai civilinis ir baudžiamasis procesai), bet ir tuo, kad minėtoje byloje nacionalinis teismas vertino materialiosios teisės, o ne proceso teisės klausimus. </w:t>
      </w:r>
    </w:p>
    <w:p w14:paraId="701022B6"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konstatavo, kad Aukščiausiojo Teismo atsisakymas atnaujinti pareiškėjo civilinę bylą, nes pareiškėjo reikalavimas neatitiko procesinių (priimtinumo) kriterijų, nebuvo susijęs su reikšmingomis naujomis aplinkybėmis, galinčiomis lemti naują Konvencijos 6 straipsnio 1 dalies pažeidimą. </w:t>
      </w:r>
    </w:p>
    <w:p w14:paraId="36108C17"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Dėl Konvencijos 13 straipsnio Teismas nurodė, jog, atsižvelgęs į pirmiau padarytas išvadas, šiuo atveju laiko, kad pareiškėjas neturėjo jokio pagrįsto reikalavimo. </w:t>
      </w:r>
    </w:p>
    <w:p w14:paraId="33DB1E74"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82C28A5" w14:textId="77777777" w:rsidR="00536624" w:rsidRPr="00536624" w:rsidRDefault="00536624" w:rsidP="00536624">
      <w:pPr>
        <w:spacing w:after="0" w:line="240" w:lineRule="auto"/>
        <w:ind w:right="-1" w:firstLine="567"/>
        <w:jc w:val="both"/>
        <w:rPr>
          <w:rFonts w:cstheme="minorHAnsi"/>
        </w:rPr>
      </w:pPr>
      <w:r w:rsidRPr="00536624">
        <w:rPr>
          <w:rFonts w:cstheme="minorHAnsi"/>
        </w:rPr>
        <w:t>Išvada: skundas nepriimtinas.</w:t>
      </w:r>
    </w:p>
    <w:p w14:paraId="51204058" w14:textId="77777777" w:rsidR="00536624" w:rsidRPr="00536624" w:rsidRDefault="00267716" w:rsidP="00536624">
      <w:pPr>
        <w:spacing w:after="0" w:line="240" w:lineRule="auto"/>
        <w:ind w:right="-1" w:firstLine="567"/>
        <w:jc w:val="both"/>
        <w:rPr>
          <w:rFonts w:cstheme="minorHAnsi"/>
        </w:rPr>
      </w:pPr>
      <w:hyperlink r:id="rId12" w:history="1">
        <w:r w:rsidR="00536624" w:rsidRPr="00536624">
          <w:rPr>
            <w:rFonts w:cstheme="minorHAnsi"/>
            <w:color w:val="0000FF"/>
            <w:u w:val="single"/>
          </w:rPr>
          <w:t>Prieiga internete</w:t>
        </w:r>
      </w:hyperlink>
    </w:p>
    <w:p w14:paraId="5D515A4A" w14:textId="77777777" w:rsidR="00536624" w:rsidRPr="00536624" w:rsidRDefault="00536624" w:rsidP="00536624">
      <w:pPr>
        <w:shd w:val="clear" w:color="auto" w:fill="FFFFFF"/>
        <w:spacing w:after="0" w:line="240" w:lineRule="auto"/>
        <w:ind w:right="-1"/>
        <w:jc w:val="center"/>
        <w:rPr>
          <w:rFonts w:eastAsia="Times New Roman" w:cstheme="minorHAnsi"/>
          <w:b/>
        </w:rPr>
      </w:pPr>
    </w:p>
    <w:p w14:paraId="1501BF6C" w14:textId="77777777" w:rsidR="00536624" w:rsidRPr="00536624" w:rsidRDefault="00536624" w:rsidP="00536624">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vasario 18 d. sprendimas byloje</w:t>
      </w:r>
    </w:p>
    <w:p w14:paraId="7F195358" w14:textId="77777777" w:rsidR="00536624" w:rsidRPr="00536624" w:rsidRDefault="00536624" w:rsidP="00536624">
      <w:pPr>
        <w:pStyle w:val="Antrat2"/>
        <w:ind w:right="-1" w:firstLine="0"/>
        <w:jc w:val="center"/>
        <w:rPr>
          <w:rFonts w:eastAsia="Calibri" w:cstheme="minorHAnsi"/>
          <w:i/>
        </w:rPr>
      </w:pPr>
      <w:bookmarkStart w:id="8" w:name="_Toc52184423"/>
      <w:r w:rsidRPr="00536624">
        <w:rPr>
          <w:rFonts w:eastAsia="Calibri" w:cstheme="minorHAnsi"/>
          <w:i/>
        </w:rPr>
        <w:t>Černius ir Rinkevičius prieš Lietuvą</w:t>
      </w:r>
      <w:bookmarkEnd w:id="8"/>
    </w:p>
    <w:p w14:paraId="099F5141" w14:textId="77777777" w:rsidR="00536624" w:rsidRPr="00536624" w:rsidRDefault="00536624" w:rsidP="00536624">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73579/17 ir 14620/18</w:t>
      </w:r>
      <w:r w:rsidRPr="00536624">
        <w:rPr>
          <w:rFonts w:cstheme="minorHAnsi"/>
          <w:b/>
        </w:rPr>
        <w:t>, svarbos lygis – 3</w:t>
      </w:r>
      <w:r w:rsidRPr="00536624">
        <w:rPr>
          <w:rFonts w:eastAsia="Times New Roman" w:cstheme="minorHAnsi"/>
          <w:b/>
        </w:rPr>
        <w:t>)</w:t>
      </w:r>
    </w:p>
    <w:p w14:paraId="3FFCEEE0" w14:textId="77777777" w:rsidR="00536624" w:rsidRPr="00536624" w:rsidRDefault="00536624" w:rsidP="00536624">
      <w:pPr>
        <w:shd w:val="clear" w:color="auto" w:fill="FFFFFF"/>
        <w:spacing w:after="0" w:line="240" w:lineRule="auto"/>
        <w:ind w:right="-1" w:firstLine="567"/>
        <w:jc w:val="center"/>
        <w:rPr>
          <w:rFonts w:eastAsia="Times New Roman" w:cstheme="minorHAnsi"/>
          <w:b/>
          <w:bCs/>
          <w:color w:val="000000"/>
        </w:rPr>
      </w:pPr>
    </w:p>
    <w:p w14:paraId="6564CD0E" w14:textId="77777777" w:rsidR="00536624" w:rsidRPr="00536624" w:rsidRDefault="00536624" w:rsidP="00536624">
      <w:pPr>
        <w:pStyle w:val="Antrat3"/>
        <w:spacing w:before="0" w:line="240" w:lineRule="auto"/>
        <w:ind w:right="-1" w:firstLine="567"/>
        <w:jc w:val="both"/>
        <w:rPr>
          <w:rFonts w:eastAsia="Calibri" w:cstheme="minorHAnsi"/>
          <w:bCs/>
          <w:iCs/>
          <w:szCs w:val="22"/>
        </w:rPr>
      </w:pPr>
      <w:bookmarkStart w:id="9" w:name="_Toc52184424"/>
      <w:r w:rsidRPr="00536624">
        <w:rPr>
          <w:rFonts w:eastAsia="Calibri" w:cstheme="minorHAnsi"/>
          <w:bCs/>
          <w:iCs/>
          <w:szCs w:val="22"/>
        </w:rPr>
        <w:t>Dėl teisės gauti bylinėjimosi išlaidas, patirtas nagrinėjant administracinio nusižengimo bylą, kai paskirtos sankcijos dydis yra mažesnis nei pačios bylinėjimosi išlaidos</w:t>
      </w:r>
      <w:bookmarkEnd w:id="9"/>
    </w:p>
    <w:p w14:paraId="671B8F70" w14:textId="77777777" w:rsidR="00536624" w:rsidRPr="00536624" w:rsidRDefault="00536624" w:rsidP="00536624">
      <w:pPr>
        <w:spacing w:after="0" w:line="240" w:lineRule="auto"/>
        <w:ind w:right="-1" w:firstLine="567"/>
        <w:rPr>
          <w:rFonts w:cstheme="minorHAnsi"/>
        </w:rPr>
      </w:pPr>
    </w:p>
    <w:p w14:paraId="275AB779" w14:textId="77777777" w:rsidR="00536624" w:rsidRPr="00536624" w:rsidRDefault="00536624" w:rsidP="00536624">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5E3D5321" w14:textId="77777777" w:rsidR="00536624" w:rsidRPr="00536624" w:rsidRDefault="00536624" w:rsidP="00536624">
      <w:pPr>
        <w:spacing w:after="0" w:line="240" w:lineRule="auto"/>
        <w:ind w:right="-1" w:firstLine="567"/>
        <w:rPr>
          <w:rFonts w:cstheme="minorHAnsi"/>
        </w:rPr>
      </w:pPr>
    </w:p>
    <w:p w14:paraId="71AAFF56" w14:textId="77777777" w:rsidR="00536624" w:rsidRPr="00536624" w:rsidRDefault="00536624" w:rsidP="00536624">
      <w:pPr>
        <w:spacing w:after="0" w:line="240" w:lineRule="auto"/>
        <w:ind w:right="-1" w:firstLine="567"/>
        <w:jc w:val="both"/>
        <w:rPr>
          <w:rFonts w:cstheme="minorHAnsi"/>
        </w:rPr>
      </w:pPr>
      <w:r w:rsidRPr="00536624">
        <w:rPr>
          <w:rFonts w:cstheme="minorHAnsi"/>
        </w:rPr>
        <w:t>Pareiškėjams už Darbo kodekso pažeidimus Valstybinė darbo inspekcija savo nutarimais paskyrė atitinkamai baudas – po 500 Eur kiekvienam. Nutarimai buvo apskųsti ir nacionalinių teismų panaikinti. Pareiškėjai kreipėsi į nacionalinius teismus prašydami priteisti dėl neteisėtų nutarimų apskundimo patirtą turtinę žalą, kurią sudarė atitinkamai 1169 Eur (pirmajam pareiškėjui) ir 837 Eur (antrajam pareiškėjui) už pastarųjų atstovavimą teismuose. Nacionaliniai teismai tokių prašymų netenkino.</w:t>
      </w:r>
    </w:p>
    <w:p w14:paraId="48128B17" w14:textId="7A25C3DF" w:rsidR="00536624" w:rsidRPr="00536624" w:rsidRDefault="00536624" w:rsidP="00536624">
      <w:pPr>
        <w:spacing w:after="0" w:line="240" w:lineRule="auto"/>
        <w:ind w:right="-1" w:firstLine="567"/>
        <w:jc w:val="both"/>
        <w:rPr>
          <w:rFonts w:cstheme="minorHAnsi"/>
        </w:rPr>
      </w:pPr>
      <w:r w:rsidRPr="00536624">
        <w:rPr>
          <w:rFonts w:cstheme="minorHAnsi"/>
        </w:rPr>
        <w:t xml:space="preserve">Pareiškėjai, remdamiesi Konvencijos 13 </w:t>
      </w:r>
      <w:r w:rsidR="006E7305">
        <w:rPr>
          <w:rFonts w:cstheme="minorHAnsi"/>
        </w:rPr>
        <w:t xml:space="preserve"> straipsniu </w:t>
      </w:r>
      <w:r w:rsidRPr="00536624">
        <w:rPr>
          <w:rFonts w:cstheme="minorHAnsi"/>
        </w:rPr>
        <w:t xml:space="preserve">ir Konvencijos </w:t>
      </w:r>
      <w:r w:rsidR="006E7305">
        <w:rPr>
          <w:rFonts w:cstheme="minorHAnsi"/>
        </w:rPr>
        <w:t>Pirmojo</w:t>
      </w:r>
      <w:r w:rsidRPr="00536624">
        <w:rPr>
          <w:rFonts w:cstheme="minorHAnsi"/>
        </w:rPr>
        <w:t xml:space="preserve"> protokolo </w:t>
      </w:r>
      <w:r w:rsidR="006E7305">
        <w:rPr>
          <w:rFonts w:cstheme="minorHAnsi"/>
        </w:rPr>
        <w:t>1 straipsniu, kreipėsi į Teismą</w:t>
      </w:r>
      <w:r w:rsidRPr="00536624">
        <w:rPr>
          <w:rFonts w:cstheme="minorHAnsi"/>
        </w:rPr>
        <w:t xml:space="preserve"> skųsdamiesi, jog dėl teismų atsisakymo priteisti jiems bylinėjimosi išlaidas po sėkmingo teismo proceso jie liko blogesnėje padėtyje nei prieš pradedant teismo procesą.</w:t>
      </w:r>
    </w:p>
    <w:p w14:paraId="0A6ECD25" w14:textId="77777777" w:rsidR="00536624" w:rsidRPr="00536624" w:rsidRDefault="00536624" w:rsidP="00536624">
      <w:pPr>
        <w:spacing w:after="0" w:line="240" w:lineRule="auto"/>
        <w:ind w:right="-1" w:firstLine="567"/>
        <w:jc w:val="both"/>
        <w:rPr>
          <w:rFonts w:cstheme="minorHAnsi"/>
        </w:rPr>
      </w:pPr>
    </w:p>
    <w:p w14:paraId="57C0CB79" w14:textId="77777777" w:rsidR="00536624" w:rsidRPr="00536624" w:rsidRDefault="00536624" w:rsidP="00536624">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1A4AC24B" w14:textId="77777777" w:rsidR="00536624" w:rsidRPr="00536624" w:rsidRDefault="00536624" w:rsidP="00536624">
      <w:pPr>
        <w:spacing w:after="0" w:line="240" w:lineRule="auto"/>
        <w:ind w:right="-1" w:firstLine="567"/>
        <w:jc w:val="both"/>
        <w:rPr>
          <w:rFonts w:cstheme="minorHAnsi"/>
        </w:rPr>
      </w:pPr>
    </w:p>
    <w:p w14:paraId="410C68D9" w14:textId="77777777" w:rsidR="00536624" w:rsidRPr="00536624" w:rsidRDefault="00536624" w:rsidP="00536624">
      <w:pPr>
        <w:spacing w:after="0" w:line="240" w:lineRule="auto"/>
        <w:ind w:right="-1" w:firstLine="567"/>
        <w:jc w:val="both"/>
        <w:rPr>
          <w:rFonts w:cstheme="minorHAnsi"/>
        </w:rPr>
      </w:pPr>
      <w:r w:rsidRPr="00536624">
        <w:rPr>
          <w:rFonts w:cstheme="minorHAnsi"/>
        </w:rPr>
        <w:t>Teismas, remdamasis savo kompetencija nustatyti bylos faktinių aplinkybių teisinį pagrindą, nurodė, jog šis skundas bus nagrinėjamas tik pagal Konvencijos 6 straipsnio 1 dalį.</w:t>
      </w:r>
    </w:p>
    <w:p w14:paraId="141F301D" w14:textId="77777777" w:rsidR="00536624" w:rsidRPr="00536624" w:rsidRDefault="00536624" w:rsidP="00536624">
      <w:pPr>
        <w:spacing w:after="0" w:line="240" w:lineRule="auto"/>
        <w:ind w:right="-1" w:firstLine="567"/>
        <w:jc w:val="both"/>
        <w:rPr>
          <w:rFonts w:cstheme="minorHAnsi"/>
        </w:rPr>
      </w:pPr>
      <w:r w:rsidRPr="00536624">
        <w:rPr>
          <w:rFonts w:cstheme="minorHAnsi"/>
        </w:rPr>
        <w:t xml:space="preserve">Šiomis aplinkybėmis EŽTT visų pirma priminė savo praktiką, susijusią su Konvencijos 6 straipsnio 1 dalies garantijomis. Pabrėžta, kad teisė į teisingą teismą nėra užtikrinama tinkamai, jeigu bylą laimėjusių pareiškėjų patiriami finansiniai nuostoliai, susiję su bylinėjimosi išlaidomis, yra didesni, nei tie nuostoliai, kuriuos pareiškėjai patiria iki bylinėjimosi teisme inicijavimo. Teismas pripažino, kad pats savaime tikslas riboti bylinėjimosi išlaidų atlyginimą administracinėje teisenoje yra teisėtas viešasis interesas. </w:t>
      </w:r>
    </w:p>
    <w:p w14:paraId="0B8595DD" w14:textId="07EAE8D6" w:rsidR="00536624" w:rsidRPr="00536624" w:rsidRDefault="00536624" w:rsidP="00536624">
      <w:pPr>
        <w:spacing w:after="0" w:line="240" w:lineRule="auto"/>
        <w:ind w:right="-1" w:firstLine="567"/>
        <w:jc w:val="both"/>
        <w:rPr>
          <w:rStyle w:val="sb8d990e2"/>
          <w:rFonts w:cstheme="minorHAnsi"/>
        </w:rPr>
      </w:pPr>
      <w:r w:rsidRPr="00536624">
        <w:rPr>
          <w:rFonts w:cstheme="minorHAnsi"/>
        </w:rPr>
        <w:t>Vertindamas proporcingumą, Teismas atmetė Vyriausybės atstovo teikiamus argumentus, jog minėto pobūdžio ginčai yra neapmokestinami žyminiu mokesčiu, bei tai, kad pareiškėjai privalėjo pasirinkti „mažesnio kalibro“ teisininką nei advokatas. Šie Vyriausybės argumentai atmesti kaip nepagrįsti ir nederantys nei su konstitucine jurisprudencija, nei su EŽTT praktika. Teism</w:t>
      </w:r>
      <w:r w:rsidR="006E7305">
        <w:rPr>
          <w:rFonts w:cstheme="minorHAnsi"/>
        </w:rPr>
        <w:t>as</w:t>
      </w:r>
      <w:r w:rsidRPr="00536624">
        <w:rPr>
          <w:rFonts w:cstheme="minorHAnsi"/>
        </w:rPr>
        <w:t xml:space="preserve"> pabrėžė, jog jo neįtikino ir Vyriausybės teiktas argumentas, kad pagal susiklosčiusią teisinę tvarką pareiškėjai, siekdami išlaidų atlyginimo, privalėjo pasinaudoti žalos atlyginimo institutu ir </w:t>
      </w:r>
      <w:r w:rsidR="006E7305">
        <w:rPr>
          <w:rFonts w:cstheme="minorHAnsi"/>
        </w:rPr>
        <w:t>į</w:t>
      </w:r>
      <w:r w:rsidRPr="00536624">
        <w:rPr>
          <w:rFonts w:cstheme="minorHAnsi"/>
        </w:rPr>
        <w:t xml:space="preserve">rodyti, kad valstybės pareigūnų veiksmai yra neteisėti. Teismo vertinimu, aplinkybė, jog ATPK tiesiogiai nenumatė išlaidų atlyginimo, nereiškė, kad išlaidos negalėjo būti atlyginamos, remiantis kitais teisiniais pagrindais, </w:t>
      </w:r>
      <w:proofErr w:type="spellStart"/>
      <w:r w:rsidRPr="006E7305">
        <w:rPr>
          <w:rFonts w:cstheme="minorHAnsi"/>
          <w:i/>
        </w:rPr>
        <w:t>inter</w:t>
      </w:r>
      <w:proofErr w:type="spellEnd"/>
      <w:r w:rsidRPr="006E7305">
        <w:rPr>
          <w:rFonts w:cstheme="minorHAnsi"/>
          <w:i/>
        </w:rPr>
        <w:t xml:space="preserve"> alia</w:t>
      </w:r>
      <w:r w:rsidRPr="00536624">
        <w:rPr>
          <w:rFonts w:cstheme="minorHAnsi"/>
        </w:rPr>
        <w:t xml:space="preserve"> Konstitucija, ABTĮ, CPK. Be to, kaip buvo matyti iš pateiktos nuoseklios LVAT praktikos, tokios išlaidos ne kartą buvo priteistos, iš pažiūros nenustačius jokios pareigos elgtis rūpestingai nesilaikymo. Dar daugiau, Teismas atkreipė dėmesį, kad nei Vyriausybė, nei administraciniai teismai, nagrinėję prašymą priteisti turtinę žalą, nesirėmė aplinkybe, jog pareiškėjai galėjo pateikti prašymą kompensuoti patirtas bylinėjimosi išlaidas bendrosios kompetencijos teismuose. Šiuo aspektu Teismas atsižvelgė į pareiškėjų argumentą, kad jie formaliai neturėjo teisės pateikti prašymo atlyginti bylinėjimosi išlaidas ir ši aplinkybė Vyriausybės nebuvo ginčijama. Teismas taip pat pažymėjo, kad pareiškėjų prašymai buvo netenkinti ne CPK</w:t>
      </w:r>
      <w:r w:rsidRPr="00536624">
        <w:rPr>
          <w:rStyle w:val="sb8d990e2"/>
          <w:rFonts w:cstheme="minorHAnsi"/>
        </w:rPr>
        <w:t xml:space="preserve"> 98 straipsnio 1 dalies pagrindu, bet remiantis administracinių teismų vertinimu, jog Valstybinės darbo inspekcijos pareigūnų veiksmai nebuvo neteisėti. </w:t>
      </w:r>
    </w:p>
    <w:p w14:paraId="1ED30426" w14:textId="1E82B800" w:rsidR="00536624" w:rsidRPr="00536624" w:rsidRDefault="00536624" w:rsidP="00536624">
      <w:pPr>
        <w:spacing w:after="0" w:line="240" w:lineRule="auto"/>
        <w:ind w:right="-1" w:firstLine="567"/>
        <w:jc w:val="both"/>
        <w:rPr>
          <w:rStyle w:val="sb8d990e2"/>
          <w:rFonts w:cstheme="minorHAnsi"/>
        </w:rPr>
      </w:pPr>
      <w:r w:rsidRPr="00536624">
        <w:rPr>
          <w:rStyle w:val="sb8d990e2"/>
          <w:rFonts w:cstheme="minorHAnsi"/>
        </w:rPr>
        <w:t xml:space="preserve">Reikšminga aplinkybe Teismas laikė ir tai, jog nagrinėtu atveju administracinių teismų sprendimai atmesti pareiškėjų prašymą atlyginti bylinėjimosi išlaidas buvo grindžiami vien jų nacionalinio teisinio reguliavimo aiškinimu, jog valstybės veiksmų neteisėtumas turi būti įrodytas, kad galėtų būti įgyvendinama teisė gauti išlaidų atlyginimą, tačiau neatsižvelgta į bylinėjimosi išlaidų proporcingumą lyginant jį su nauda, kuri buvo gauta panaikinus paskirtas baudas. Šiuo klausimu Teismas taip pat atsižvelgė į Lietuvos teismų sprendimus kitose bylose, kuriose </w:t>
      </w:r>
      <w:r w:rsidR="006E7305">
        <w:rPr>
          <w:rStyle w:val="sb8d990e2"/>
          <w:rFonts w:cstheme="minorHAnsi"/>
        </w:rPr>
        <w:t>buvo pripažinta</w:t>
      </w:r>
      <w:r w:rsidRPr="00536624">
        <w:rPr>
          <w:rStyle w:val="sb8d990e2"/>
          <w:rFonts w:cstheme="minorHAnsi"/>
        </w:rPr>
        <w:t xml:space="preserve">, jog neproporcingai didelės ir nepagrįstos išlaidos </w:t>
      </w:r>
      <w:r w:rsidRPr="00536624">
        <w:rPr>
          <w:rStyle w:val="sb8d990e2"/>
          <w:rFonts w:cstheme="minorHAnsi"/>
        </w:rPr>
        <w:lastRenderedPageBreak/>
        <w:t>neatlyginamos. Tokia proporcingumo patikra pareiškėjų atveju nebuvo atlikta. Be to, pareiškėjų patirtos bylinėjimosi išlaidos nebuvo per didelės ar viršijančios rekomenduojamą priteisti dydį. Tokiu būdu, neatsižvelgdamas į tai, ar nacionalinių teismų pateiktas nacionalinės teisės aiškinimas pareiškėjų atveju buvo nepagrįstas, Teismas nusprendė, kad patirta disproporcija sudarė pareiškėjams pernelyg didelę asmeninę naštą.</w:t>
      </w:r>
    </w:p>
    <w:p w14:paraId="2052D683" w14:textId="12665ADD" w:rsidR="00536624" w:rsidRPr="00536624" w:rsidRDefault="00536624" w:rsidP="00536624">
      <w:pPr>
        <w:spacing w:after="0" w:line="240" w:lineRule="auto"/>
        <w:ind w:right="-1" w:firstLine="567"/>
        <w:jc w:val="both"/>
        <w:rPr>
          <w:rFonts w:cstheme="minorHAnsi"/>
        </w:rPr>
      </w:pPr>
      <w:r w:rsidRPr="00536624">
        <w:rPr>
          <w:rFonts w:cstheme="minorHAnsi"/>
        </w:rPr>
        <w:t>Atsižvelgdamas į išdėstytas ypatingas šios bylos aplinkybes, Teismas priėjo prie išvados, jog vidaus teismų atsisakyma</w:t>
      </w:r>
      <w:r w:rsidR="006E7305">
        <w:rPr>
          <w:rFonts w:cstheme="minorHAnsi"/>
        </w:rPr>
        <w:t>s atlyginti pareiškėjams teisine</w:t>
      </w:r>
      <w:r w:rsidRPr="00536624">
        <w:rPr>
          <w:rFonts w:cstheme="minorHAnsi"/>
        </w:rPr>
        <w:t>s išlaidas, patirtas administracinių ginčų metu, neatsižvelgiant į šių išlaidų dydį, pažeidžia jų teisę kreiptis į teismą ir Konvencijos 6 straipsnio 1 dalį.</w:t>
      </w:r>
    </w:p>
    <w:p w14:paraId="24FC159D" w14:textId="77777777" w:rsidR="00536624" w:rsidRPr="00536624" w:rsidRDefault="00536624" w:rsidP="00536624">
      <w:pPr>
        <w:spacing w:after="0" w:line="240" w:lineRule="auto"/>
        <w:ind w:right="-1" w:firstLine="567"/>
        <w:jc w:val="both"/>
        <w:rPr>
          <w:rFonts w:cstheme="minorHAnsi"/>
        </w:rPr>
      </w:pPr>
    </w:p>
    <w:p w14:paraId="75D60073" w14:textId="1BEF1330" w:rsidR="00536624" w:rsidRPr="00536624" w:rsidRDefault="00536624" w:rsidP="00536624">
      <w:pPr>
        <w:spacing w:after="0" w:line="240" w:lineRule="auto"/>
        <w:ind w:right="-1" w:firstLine="567"/>
        <w:jc w:val="both"/>
        <w:rPr>
          <w:rFonts w:cstheme="minorHAnsi"/>
        </w:rPr>
      </w:pPr>
      <w:r w:rsidRPr="00536624">
        <w:rPr>
          <w:rFonts w:cstheme="minorHAnsi"/>
        </w:rPr>
        <w:t xml:space="preserve">Išvada: nustatytas Konvencijos 6 straipsnio pažeidimas kiekvieno pareiškėjo atžvilgiu (vienbalsiai). </w:t>
      </w:r>
      <w:r w:rsidR="006E7305">
        <w:rPr>
          <w:rFonts w:cstheme="minorHAnsi"/>
        </w:rPr>
        <w:t>Priteista</w:t>
      </w:r>
      <w:r w:rsidRPr="00536624">
        <w:rPr>
          <w:rFonts w:cstheme="minorHAnsi"/>
        </w:rPr>
        <w:t xml:space="preserve">: </w:t>
      </w:r>
      <w:r w:rsidR="006E7305">
        <w:rPr>
          <w:rFonts w:cstheme="minorHAnsi"/>
        </w:rPr>
        <w:t xml:space="preserve">abiem pareiškėjams </w:t>
      </w:r>
      <w:r w:rsidRPr="00536624">
        <w:rPr>
          <w:rFonts w:cstheme="minorHAnsi"/>
        </w:rPr>
        <w:t>po 1 000 Eur neturtinei žalai atlyginti, 1 169 Eur (pirmajam pareiškėjui) bei 836 Eur (antrajam pareiškėjui) turtinei žalai atlyginti.</w:t>
      </w:r>
    </w:p>
    <w:p w14:paraId="2DDC2281" w14:textId="77777777" w:rsidR="00536624" w:rsidRPr="00536624" w:rsidRDefault="00267716" w:rsidP="00536624">
      <w:pPr>
        <w:spacing w:after="0" w:line="240" w:lineRule="auto"/>
        <w:ind w:right="-1" w:firstLine="567"/>
        <w:jc w:val="both"/>
        <w:rPr>
          <w:rStyle w:val="Hipersaitas"/>
          <w:rFonts w:cstheme="minorHAnsi"/>
        </w:rPr>
      </w:pPr>
      <w:hyperlink r:id="rId13" w:history="1">
        <w:r w:rsidR="00536624" w:rsidRPr="00536624">
          <w:rPr>
            <w:rStyle w:val="Hipersaitas"/>
            <w:rFonts w:cstheme="minorHAnsi"/>
          </w:rPr>
          <w:t>Prieiga internete</w:t>
        </w:r>
      </w:hyperlink>
    </w:p>
    <w:p w14:paraId="712489E6"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1CB30FF" w14:textId="77777777" w:rsidR="00536624" w:rsidRPr="00536624" w:rsidRDefault="00536624" w:rsidP="00536624">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gegužės 5 d. sprendimas byloje</w:t>
      </w:r>
    </w:p>
    <w:p w14:paraId="0B23649B" w14:textId="77777777" w:rsidR="00536624" w:rsidRPr="00536624" w:rsidRDefault="00536624" w:rsidP="00536624">
      <w:pPr>
        <w:pStyle w:val="Antrat2"/>
        <w:jc w:val="center"/>
        <w:rPr>
          <w:i/>
        </w:rPr>
      </w:pPr>
      <w:bookmarkStart w:id="10" w:name="_Toc52184425"/>
      <w:proofErr w:type="spellStart"/>
      <w:r w:rsidRPr="00536624">
        <w:rPr>
          <w:i/>
        </w:rPr>
        <w:t>Kövesi</w:t>
      </w:r>
      <w:proofErr w:type="spellEnd"/>
      <w:r w:rsidRPr="00536624">
        <w:rPr>
          <w:i/>
        </w:rPr>
        <w:t xml:space="preserve"> prieš Rumuniją</w:t>
      </w:r>
      <w:bookmarkEnd w:id="10"/>
    </w:p>
    <w:p w14:paraId="67D74A19" w14:textId="77777777" w:rsidR="00536624" w:rsidRPr="00536624" w:rsidRDefault="00536624" w:rsidP="00536624">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3594/19, svarbos lygis – 2)</w:t>
      </w:r>
    </w:p>
    <w:p w14:paraId="49429F56" w14:textId="77777777" w:rsidR="00536624" w:rsidRPr="00536624" w:rsidRDefault="00536624" w:rsidP="00536624">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1BE7828E" w14:textId="77777777" w:rsidR="00536624" w:rsidRPr="00536624" w:rsidRDefault="00536624" w:rsidP="00536624">
      <w:pPr>
        <w:pStyle w:val="Antrat3"/>
        <w:ind w:firstLine="567"/>
        <w:jc w:val="both"/>
      </w:pPr>
      <w:bookmarkStart w:id="11" w:name="_Toc52184426"/>
      <w:r w:rsidRPr="00536624">
        <w:t>Dėl priešlaikinio (nepasibaigus kadencijai) vyriausiosios prokurorės įgaliojimų nutraukimo viešai pareiškus kritiką dėl įstatymų leidybos reformų bei nesudarytos galimybės veiksmingai ginčyti atleidimo</w:t>
      </w:r>
      <w:bookmarkEnd w:id="11"/>
      <w:r w:rsidRPr="00536624">
        <w:t xml:space="preserve"> </w:t>
      </w:r>
    </w:p>
    <w:p w14:paraId="1B885309"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7E644C1" w14:textId="77777777" w:rsidR="00536624" w:rsidRPr="00536624" w:rsidRDefault="00536624" w:rsidP="00536624">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37E87AB4"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CB81604" w14:textId="71BA5F1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Pareiškėja 2013 m. Rumunijos prezidento paskirta trejų metų kadencijai Nacionalinės antikorupcijos direkcijos (toliau – DNA) vyriausiąja prokurore. 2016 m. Aukštesnioji teisėjų taryba, organas, atsakingas už teisminės valdžios valdymo ir drausmės reikalus (toliau – CSM), pateikė teigiamą nu</w:t>
      </w:r>
      <w:r w:rsidR="00E45AC6">
        <w:rPr>
          <w:rFonts w:eastAsia="Times New Roman" w:cstheme="minorHAnsi"/>
          <w:color w:val="000000"/>
        </w:rPr>
        <w:t xml:space="preserve">omonę dėl Teisingumo ministro </w:t>
      </w:r>
      <w:r w:rsidRPr="00536624">
        <w:rPr>
          <w:rFonts w:eastAsia="Times New Roman" w:cstheme="minorHAnsi"/>
          <w:color w:val="000000"/>
        </w:rPr>
        <w:t>siūlymo skirti pareiškėją tolesniam trejų metų kadencijos terminui.</w:t>
      </w:r>
    </w:p>
    <w:p w14:paraId="6D31945B" w14:textId="364BD80D"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2016 metais įvyko nauji parlamento rinkimai, po kurių susiformavo nauja parlamentinė dauguma ir nauja vyriausybė. 2017 m. rugpjūčio mėnesį Teisingu</w:t>
      </w:r>
      <w:r w:rsidR="00E45AC6">
        <w:rPr>
          <w:rFonts w:eastAsia="Times New Roman" w:cstheme="minorHAnsi"/>
          <w:color w:val="000000"/>
        </w:rPr>
        <w:t>mo ministras paskelbė apie nuod</w:t>
      </w:r>
      <w:r w:rsidRPr="00536624">
        <w:rPr>
          <w:rFonts w:eastAsia="Times New Roman" w:cstheme="minorHAnsi"/>
          <w:color w:val="000000"/>
        </w:rPr>
        <w:t>ugnią teismų sistemos reformą. Tai sukėlė kritikos audrą tiek nacionaliniu, tiek tarptautiniu mastu. Teisingumo ministras 2018 m. vasarį pateikė CSM ataskaitą apie Nacionalinės antikorupcijos direkcijos va</w:t>
      </w:r>
      <w:r w:rsidR="00E45AC6">
        <w:rPr>
          <w:rFonts w:eastAsia="Times New Roman" w:cstheme="minorHAnsi"/>
          <w:color w:val="000000"/>
        </w:rPr>
        <w:t>l</w:t>
      </w:r>
      <w:r w:rsidRPr="00536624">
        <w:rPr>
          <w:rFonts w:eastAsia="Times New Roman" w:cstheme="minorHAnsi"/>
          <w:color w:val="000000"/>
        </w:rPr>
        <w:t>dybą, kurioje suformulavo pasiūlymą atleisti pareiškėją darant nuorodą į jos viešus pasisakymus apie reformas. CSM balsų dauguma nesutiko su pareiškėjos atleidimu, o Rumunijos Prezidentas atsisakė pasirašyti pasiūlymą atleisti.</w:t>
      </w:r>
    </w:p>
    <w:p w14:paraId="22155F78" w14:textId="745A0863" w:rsidR="00536624" w:rsidRPr="00536624" w:rsidRDefault="00E45AC6"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Pr>
          <w:rFonts w:eastAsia="Times New Roman" w:cstheme="minorHAnsi"/>
          <w:color w:val="000000"/>
        </w:rPr>
        <w:t>D</w:t>
      </w:r>
      <w:r w:rsidR="00536624" w:rsidRPr="00536624">
        <w:rPr>
          <w:rFonts w:eastAsia="Times New Roman" w:cstheme="minorHAnsi"/>
          <w:color w:val="000000"/>
        </w:rPr>
        <w:t xml:space="preserve">ėl susidariusios konfliktinės situacijos </w:t>
      </w:r>
      <w:r>
        <w:rPr>
          <w:rFonts w:eastAsia="Times New Roman" w:cstheme="minorHAnsi"/>
          <w:color w:val="000000"/>
        </w:rPr>
        <w:t xml:space="preserve">šalies Ministras pirmininkas </w:t>
      </w:r>
      <w:r w:rsidR="00536624" w:rsidRPr="00536624">
        <w:rPr>
          <w:rFonts w:eastAsia="Times New Roman" w:cstheme="minorHAnsi"/>
          <w:color w:val="000000"/>
        </w:rPr>
        <w:t>kreipėsi į Konstitucinį Teismą, prašydamas išspręsti kilusį ginčą dėl Prezidento atsisakymo pasirašyti siūlymą atleisti pareiškėją. Konstitucinis Teismas priėmė sprendimą, kuriame pripažino, kad prezidentas (o taip pat ir administracinis teismas) turi kompetenciją vertinti tik teisingumo ministro pateikto siūlymo dėl atleidimo iš pareigų teisėtumą, bet ne tokio siūlymo naudingumą, todėl įpareigojo prezidentą pasirašyti dekretą dėl pareiškėjos atleidimo iš DNA vyriausiojo prokuroro pareigų. Prezidentas tokį dekretą 2018 m. liepos 9 d. pasirašė.</w:t>
      </w:r>
    </w:p>
    <w:p w14:paraId="28FC548A" w14:textId="5C0E134C"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Pareiškėja, remdamasi Konvencijos 6 straipsnio 1 dalimi bei 10 straipsniu, kreipėsi į Te</w:t>
      </w:r>
      <w:r w:rsidR="00005CD9">
        <w:rPr>
          <w:rFonts w:eastAsia="Times New Roman" w:cstheme="minorHAnsi"/>
          <w:color w:val="000000"/>
        </w:rPr>
        <w:t>ismą</w:t>
      </w:r>
      <w:r w:rsidRPr="00536624">
        <w:rPr>
          <w:rFonts w:eastAsia="Times New Roman" w:cstheme="minorHAnsi"/>
          <w:color w:val="000000"/>
        </w:rPr>
        <w:t xml:space="preserve"> skųsdamasi, jog jai buvo užkir</w:t>
      </w:r>
      <w:r w:rsidR="00005CD9">
        <w:rPr>
          <w:rFonts w:eastAsia="Times New Roman" w:cstheme="minorHAnsi"/>
          <w:color w:val="000000"/>
        </w:rPr>
        <w:t>s</w:t>
      </w:r>
      <w:r w:rsidRPr="00536624">
        <w:rPr>
          <w:rFonts w:eastAsia="Times New Roman" w:cstheme="minorHAnsi"/>
          <w:color w:val="000000"/>
        </w:rPr>
        <w:t>tas kelias ginti savo atleidimą teisme, be to, jos kadencija buvo nutraukta dėl jos pagal profesines ga</w:t>
      </w:r>
      <w:r w:rsidR="00005CD9">
        <w:rPr>
          <w:rFonts w:eastAsia="Times New Roman" w:cstheme="minorHAnsi"/>
          <w:color w:val="000000"/>
        </w:rPr>
        <w:t>l</w:t>
      </w:r>
      <w:r w:rsidRPr="00536624">
        <w:rPr>
          <w:rFonts w:eastAsia="Times New Roman" w:cstheme="minorHAnsi"/>
          <w:color w:val="000000"/>
        </w:rPr>
        <w:t xml:space="preserve">imybes išreikštos teisėkūros reformos </w:t>
      </w:r>
      <w:r w:rsidR="00005CD9" w:rsidRPr="00536624">
        <w:rPr>
          <w:rFonts w:eastAsia="Times New Roman" w:cstheme="minorHAnsi"/>
          <w:color w:val="000000"/>
        </w:rPr>
        <w:t xml:space="preserve">viešos </w:t>
      </w:r>
      <w:r w:rsidRPr="00536624">
        <w:rPr>
          <w:rFonts w:eastAsia="Times New Roman" w:cstheme="minorHAnsi"/>
          <w:color w:val="000000"/>
        </w:rPr>
        <w:t>kritikos.</w:t>
      </w:r>
    </w:p>
    <w:p w14:paraId="7343F2B8"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0C36CB7" w14:textId="77777777" w:rsidR="00536624" w:rsidRPr="00536624" w:rsidRDefault="00536624" w:rsidP="00536624">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42E634D"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2A44B00"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spręsdamas dėl tikėtino Konvencijos 6 straipsnio 1 dalies pažeidimo, nustatė, kad nacionalinis teisinis reglamentavimas įtvirtino pareiškėjos teisę eiti vyriausiosios prokurorės pareigas iki jos kadencijos pabaigos; jeigu jos tarnyba būtų nutraukta anksčiau be jos sutikimo, tam turėtų būti specialios priežastys ir jai turėtų būti suteikta galimybė reikalauti tokį sprendimą peržiūrėti teismine tvarka. Nors pareiškėjos atliktų funkcijų suteikimas iš esmės laikytinas privilegija, kurią atitinkama institucija suteikia naudodamasi savo </w:t>
      </w:r>
      <w:proofErr w:type="spellStart"/>
      <w:r w:rsidRPr="00536624">
        <w:rPr>
          <w:rFonts w:eastAsia="Times New Roman" w:cstheme="minorHAnsi"/>
          <w:color w:val="000000"/>
        </w:rPr>
        <w:t>diskrecija</w:t>
      </w:r>
      <w:proofErr w:type="spellEnd"/>
      <w:r w:rsidRPr="00536624">
        <w:rPr>
          <w:rFonts w:eastAsia="Times New Roman" w:cstheme="minorHAnsi"/>
          <w:color w:val="000000"/>
        </w:rPr>
        <w:t>, tai netaikytina tokių darbo santykių nutraukimui. Taigi, ginčas kilo dėl realios ir reikšmingos pareiškėjos teisės nebūti atleistai iš užimamų pareigų, išskyrus įstatyme specialiai numatytus atvejus.</w:t>
      </w:r>
    </w:p>
    <w:p w14:paraId="23DE2A86" w14:textId="7719A1A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lastRenderedPageBreak/>
        <w:t xml:space="preserve">Teismas, vertindamas, ar pareiškėjos teisė laikytina civiline Konvencijos 6 straipsnio 1 dalies prasme, pritaikė kriterijus, suformuluotus 2007 m. balandžio 19 d. sprendime </w:t>
      </w:r>
      <w:proofErr w:type="spellStart"/>
      <w:r w:rsidRPr="00536624">
        <w:rPr>
          <w:rFonts w:eastAsia="Times New Roman" w:cstheme="minorHAnsi"/>
          <w:i/>
          <w:color w:val="000000"/>
        </w:rPr>
        <w:t>Vilho</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Eskelinen</w:t>
      </w:r>
      <w:proofErr w:type="spellEnd"/>
      <w:r w:rsidRPr="00536624">
        <w:rPr>
          <w:rFonts w:eastAsia="Times New Roman" w:cstheme="minorHAnsi"/>
          <w:i/>
          <w:color w:val="000000"/>
        </w:rPr>
        <w:t xml:space="preserve"> ir kiti prieš Suomiją</w:t>
      </w:r>
      <w:r w:rsidRPr="00536624">
        <w:rPr>
          <w:rFonts w:eastAsia="Times New Roman" w:cstheme="minorHAnsi"/>
          <w:color w:val="000000"/>
        </w:rPr>
        <w:t xml:space="preserve"> (pareiškimo Nr. 63235/00), t. y. </w:t>
      </w:r>
      <w:proofErr w:type="spellStart"/>
      <w:r w:rsidRPr="00536624">
        <w:rPr>
          <w:rFonts w:eastAsia="Times New Roman" w:cstheme="minorHAnsi"/>
          <w:color w:val="000000"/>
        </w:rPr>
        <w:t>Eskelinen</w:t>
      </w:r>
      <w:proofErr w:type="spellEnd"/>
      <w:r w:rsidRPr="00536624">
        <w:rPr>
          <w:rFonts w:eastAsia="Times New Roman" w:cstheme="minorHAnsi"/>
          <w:color w:val="000000"/>
        </w:rPr>
        <w:t xml:space="preserve"> testą. Nagrinėjamoje byloje nacionalinis reglamentavimas tiesiogiai įtvirtino teisę į teismą dėl klausimų, susijusių su prokurorų karjera. Vyriausybė, teigdama, kad pareiškėja neišnaudojo visų valstybės vidaus teisinės gynybos priemonių, patvirtino, kad iš pareiškėjos nebuvo atimta galimybė kr</w:t>
      </w:r>
      <w:r w:rsidR="00863FBB">
        <w:rPr>
          <w:rFonts w:eastAsia="Times New Roman" w:cstheme="minorHAnsi"/>
          <w:color w:val="000000"/>
        </w:rPr>
        <w:t>eiptis į teismą. Konstitucinis T</w:t>
      </w:r>
      <w:r w:rsidRPr="00536624">
        <w:rPr>
          <w:rFonts w:eastAsia="Times New Roman" w:cstheme="minorHAnsi"/>
          <w:color w:val="000000"/>
        </w:rPr>
        <w:t xml:space="preserve">eismas 2018 m. gegužės 30 d. sprendimu neužkirto kelio pareiškėjai kreiptis teisminės gynybos, bet tik apribojo administracinių teismų kompetenciją </w:t>
      </w:r>
      <w:proofErr w:type="spellStart"/>
      <w:r w:rsidRPr="00536624">
        <w:rPr>
          <w:rFonts w:eastAsia="Times New Roman" w:cstheme="minorHAnsi"/>
          <w:i/>
          <w:color w:val="000000"/>
        </w:rPr>
        <w:t>stricto</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sensu</w:t>
      </w:r>
      <w:proofErr w:type="spellEnd"/>
      <w:r w:rsidRPr="00536624">
        <w:rPr>
          <w:rFonts w:eastAsia="Times New Roman" w:cstheme="minorHAnsi"/>
          <w:color w:val="000000"/>
        </w:rPr>
        <w:t xml:space="preserve"> tirti ginčo administracinio akto teisėtumą. Šiuo atveju nėra pagrindo išvadai, kad nacionalinė teisė tiesiogiai sudarė kliūtis pareiškėjai kreiptis į teismą dėl tikėtino jos atleidimo iš pareigų neteisėtumo, todėl nekonstatuotina pirmoji </w:t>
      </w:r>
      <w:proofErr w:type="spellStart"/>
      <w:r w:rsidRPr="00536624">
        <w:rPr>
          <w:rFonts w:eastAsia="Times New Roman" w:cstheme="minorHAnsi"/>
          <w:color w:val="000000"/>
        </w:rPr>
        <w:t>Eskelinen</w:t>
      </w:r>
      <w:proofErr w:type="spellEnd"/>
      <w:r w:rsidRPr="00536624">
        <w:rPr>
          <w:rFonts w:eastAsia="Times New Roman" w:cstheme="minorHAnsi"/>
          <w:color w:val="000000"/>
        </w:rPr>
        <w:t xml:space="preserve"> testo sąlyga. To pakanka pripažinti, jog Konvencijos 6 straipsnio 1 dalis taikytina civilinėje dalyje. Teismas pažymėjo, kad šiuo atveju nebuvo išpildyta ir antroji </w:t>
      </w:r>
      <w:proofErr w:type="spellStart"/>
      <w:r w:rsidRPr="00536624">
        <w:rPr>
          <w:rFonts w:eastAsia="Times New Roman" w:cstheme="minorHAnsi"/>
          <w:color w:val="000000"/>
        </w:rPr>
        <w:t>Eskelinen</w:t>
      </w:r>
      <w:proofErr w:type="spellEnd"/>
      <w:r w:rsidRPr="00536624">
        <w:rPr>
          <w:rFonts w:eastAsia="Times New Roman" w:cstheme="minorHAnsi"/>
          <w:color w:val="000000"/>
        </w:rPr>
        <w:t xml:space="preserve"> testo sąlyga – objektyvus pagrindas minėtoms kliūtims dėl valstybės interesų, kadangi teisminės kontrolės nebuvimas vertinant sprendimų dėl atleidimo teisėtumą negali būti valstybės interesu. </w:t>
      </w:r>
    </w:p>
    <w:p w14:paraId="1D122355" w14:textId="733CC378"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atkreipė dė</w:t>
      </w:r>
      <w:r w:rsidR="00863FBB">
        <w:rPr>
          <w:rFonts w:eastAsia="Times New Roman" w:cstheme="minorHAnsi"/>
          <w:color w:val="000000"/>
        </w:rPr>
        <w:t>mesį į tai, kad, Konstitucinio T</w:t>
      </w:r>
      <w:r w:rsidRPr="00536624">
        <w:rPr>
          <w:rFonts w:eastAsia="Times New Roman" w:cstheme="minorHAnsi"/>
          <w:color w:val="000000"/>
        </w:rPr>
        <w:t xml:space="preserve">eismo vertinimu, teisingumo ministro ataskaita savaime nesukėlė pareiškėjai teisinių pasekmių ir buvo tik preliminarus dokumentas prezidento dekreto priėmimo procese. Teismui pateikti dokumentai patvirtina, jog nevyriausybinės organizacijos bandė nuginčyti minėtą ataskaitą, tačiau nebuvo pateikti pavyzdžiai apie pradėtas administracines procedūras dėl panašaus dokumento. Dėl šių priežasčių galimybė apskųsti teisingumo ministro ataskaitą nelaikytina veiksminga teisminės gynybos priemone pareiškėjai. Teismas taip pat nesutiko su Vyriausybės pozicija, kad pareiškėja galėjo paduoti skundą dėl CSM 2018 m. vasario 27 d. sprendimo, kadangi šis sprendimas buvo palankus pareiškėjai ir ji neturėjo intereso jį skųsti. Nors nacionalinis teisinis reglamentavimas sukuria bendrą galimybę ginčyti administraciniam teismui bet kokį administracinį aktą ar prezidento dekretą, Vyriausybės pateikti pavyzdžiai nėra panašūs pareiškėjos situacijai, kai prezidento dekretas dėl atleidimo iš pareigų buvo priimtas </w:t>
      </w:r>
      <w:r w:rsidR="00863FBB">
        <w:rPr>
          <w:rFonts w:eastAsia="Times New Roman" w:cstheme="minorHAnsi"/>
          <w:color w:val="000000"/>
        </w:rPr>
        <w:t>vykdant specialų Konstitucinio Teismo nurodymą. Konstitucinis T</w:t>
      </w:r>
      <w:r w:rsidRPr="00536624">
        <w:rPr>
          <w:rFonts w:eastAsia="Times New Roman" w:cstheme="minorHAnsi"/>
          <w:color w:val="000000"/>
        </w:rPr>
        <w:t xml:space="preserve">eismas 2018 m. gegužės 30 d. sprendime pabrėžė ribotą administracinių teismų kompetenciją peržiūrėti prezidento dekretą dėl pareiškėjos atleidimo iš pareigų, t. y. tik vertinti tokio dekreto teisėtumą </w:t>
      </w:r>
      <w:proofErr w:type="spellStart"/>
      <w:r w:rsidRPr="00536624">
        <w:rPr>
          <w:rFonts w:eastAsia="Times New Roman" w:cstheme="minorHAnsi"/>
          <w:i/>
          <w:color w:val="000000"/>
        </w:rPr>
        <w:t>stricto</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sensu</w:t>
      </w:r>
      <w:proofErr w:type="spellEnd"/>
      <w:r w:rsidRPr="00536624">
        <w:rPr>
          <w:rFonts w:eastAsia="Times New Roman" w:cstheme="minorHAnsi"/>
          <w:color w:val="000000"/>
        </w:rPr>
        <w:t>. Laikytina, kad skundas administraciniam teismui būtų sėkmingas tik vertinant prezidento dekreto išorinį teisėtumą, tokiu būdu įvykdant tik formalią peržiūrą. Toks kelias nebūtų veiksminga gynyba dėl esminio pareiškėjos nusiskundimo – aplinkybės, kad jos atleidimas iš pareigų yra neteisėta drausminė sankcija už jos viešai išreikštą nuomonę dėl teisėkūros reformų. Teismui nepakako įrodymų, kad pareiškėja galėjo pasinaudoti veiksminga teismine gynyba, siekdama teisme efektyviai ginčyti jos atleidimo iš DNA vyriausiojo prokuroro pareigų priežastis, todėl teisminės kontrolės prieinamumas pareiškėjai nepripažintinas pakankamu (Konvencijos 6 str. 1 d. pažeidimas).</w:t>
      </w:r>
    </w:p>
    <w:p w14:paraId="5BE246C0" w14:textId="5EDCB600"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siekdamas nustatyti, ar pareiškėjos atžvilgiu pritaikytos priemonės lėmė jos saviraiškos laisvės apribojimą, apžvelgė teisingumo ministro 2018 m. vasario 23 d. ataskaitos, kurioje išdėstytos siūlymo atleisti pareiškėją iš pareigų priežastys, įžangą, be kita ko, teiginius, jog laikotarpiu nuo 2017 m. vasario mėnesio iki 2018 m. vasario mėnesio vykstančios diskusijos giliai suskaldė visuomenės nuomonę, iššaukė pastaruoju metu Rumunijoje nematyto masto asmenines atakas, konstitucinių, Europos ir visuotinių vertybių kvestionavimą; ataskaita pagrįsta sprendimų, faktų ir konkrečių veiksmų, įskaitant DNA vyriausiosios prokurorės viešus pasisakymus, analize. Dauguma ataskaitoje nurodytų priežasčių, kuriomis grindžiamas siūlymas atleisti pareiškėją, yra susijusios su pareiškėjos išreikšta nuomone jos pr</w:t>
      </w:r>
      <w:r w:rsidR="00863FBB">
        <w:rPr>
          <w:rFonts w:eastAsia="Times New Roman" w:cstheme="minorHAnsi"/>
          <w:color w:val="000000"/>
        </w:rPr>
        <w:t>ofesijos ribose. Konstitucinio T</w:t>
      </w:r>
      <w:r w:rsidRPr="00536624">
        <w:rPr>
          <w:rFonts w:eastAsia="Times New Roman" w:cstheme="minorHAnsi"/>
          <w:color w:val="000000"/>
        </w:rPr>
        <w:t xml:space="preserve">eismo sprendime atkreiptas dėmesys į pradėtus tyrimus, kontroliuojamus pareiškėjos, susijusius su numanoma Vyriausybės narių korupcija bei tyrimo detalių atskleidimu žiniasklaidai. Dar daugiau, pareiškėjos vieši pasisakymai apie teisėkūros reformas, pasiūlytas Vyriausybės, ir ikiteisminiai tyrimai, susiję su šiomis reformomis, buvo įvardyti kaip konkrečios priežastys pareiškėjai atleisti, išsamiai pacituoti ir pakomentuoti ataskaitoje. CSM kitas ministro nurodytas priežastis pareiškėjai atleisti pripažino neturinčiomis faktinio ir teisinio pagrindo, nesusijusiomis su vykstančiais drausminiais tyrimais. Remdamasis tuo, Teismas nustatė </w:t>
      </w:r>
      <w:r w:rsidRPr="00536624">
        <w:rPr>
          <w:rFonts w:eastAsia="Times New Roman" w:cstheme="minorHAnsi"/>
          <w:i/>
          <w:color w:val="000000"/>
        </w:rPr>
        <w:t xml:space="preserve">prima </w:t>
      </w:r>
      <w:proofErr w:type="spellStart"/>
      <w:r w:rsidRPr="00536624">
        <w:rPr>
          <w:rFonts w:eastAsia="Times New Roman" w:cstheme="minorHAnsi"/>
          <w:i/>
          <w:color w:val="000000"/>
        </w:rPr>
        <w:t>facie</w:t>
      </w:r>
      <w:proofErr w:type="spellEnd"/>
      <w:r w:rsidRPr="00536624">
        <w:rPr>
          <w:rFonts w:eastAsia="Times New Roman" w:cstheme="minorHAnsi"/>
          <w:color w:val="000000"/>
        </w:rPr>
        <w:t xml:space="preserve"> įrodymus priežastiniam ryšiui tarp pareiškėjos naudojimosi saviraiškos laisve ir jos atleidimo iš pareigų patvirtinti. Teismui nustačius </w:t>
      </w:r>
      <w:r w:rsidRPr="00536624">
        <w:rPr>
          <w:rFonts w:eastAsia="Times New Roman" w:cstheme="minorHAnsi"/>
          <w:i/>
          <w:color w:val="000000"/>
        </w:rPr>
        <w:t xml:space="preserve">prima </w:t>
      </w:r>
      <w:proofErr w:type="spellStart"/>
      <w:r w:rsidRPr="00536624">
        <w:rPr>
          <w:rFonts w:eastAsia="Times New Roman" w:cstheme="minorHAnsi"/>
          <w:i/>
          <w:color w:val="000000"/>
        </w:rPr>
        <w:t>facie</w:t>
      </w:r>
      <w:proofErr w:type="spellEnd"/>
      <w:r w:rsidRPr="00536624">
        <w:rPr>
          <w:rFonts w:eastAsia="Times New Roman" w:cstheme="minorHAnsi"/>
          <w:color w:val="000000"/>
        </w:rPr>
        <w:t xml:space="preserve"> įrodymus, patvirtinančius pareiškėjos versiją ir egzistuojantį priežastinį ryšį, įrodinėjimo našta perėjo Vyriausybei. Šiuo atveju Vyriausybės nurodytos pareiškėjos atleidimo priežastys (neadekvati vadyba) nebuvo pagrįstos konkrečiais įrodymais, todėl atmestos. Padaryta išvada, kad pagrindinė pareiškėjos atleidimo priežastis buvo susijusi su jos naudojimusi saviraiškos laisve.</w:t>
      </w:r>
    </w:p>
    <w:p w14:paraId="12C1098C"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spręsdamas, ar pareiškėjai pritaikytu apribojimu buvo siekiama teisėto tikslo, pastebėjo, jog ginčo priemonės prieš pareiškėją buvo panaudotos po to, kai pareiškėja išreiškė kritiką dėl teisingumo </w:t>
      </w:r>
      <w:r w:rsidRPr="00536624">
        <w:rPr>
          <w:rFonts w:eastAsia="Times New Roman" w:cstheme="minorHAnsi"/>
          <w:color w:val="000000"/>
        </w:rPr>
        <w:lastRenderedPageBreak/>
        <w:t xml:space="preserve">ministro pateiktų teisėkūros pasiūlymų ir pradėjo ikiteisminius tyrimus, susijusius su tam tikrų teisinių instrumentų iniciavimu, su kuriuo buvo susijęs teisingumo ministras. Pažymėta, kad, priešingai nei teigiama ataskaitoje, nerimas nacionaliniu, Europos ir tarptautiniu lygiu kilo dėl pareiškėjos atleidimo iš pareigų. Bylos duomenys nepatvirtino ataskaitoje teisingumo ministro nurodyto tikslo – užtikrinti teisinę valstybę. Vyriausybė nenurodė jokio pareiškėjos ginčijamų ribojimų teisėto tikslo. Taigi, pareiškėjos atžvilgiu pritaikyti apribojimai nesietini su teisėtu tikslu Konvencijos 10 straipsnio 2 dalies prasme. </w:t>
      </w:r>
    </w:p>
    <w:p w14:paraId="1297F284"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akcentavo, jog teisminių institucijų nariai turėtų elgtis santūriai, naudodamiesi savo saviraiškos laisve tais atvejais, kai teisminės institucijos nepriklausomumas ir nešališkumas gali būti kvestionuojami. Nagrinėjamu atveju pareiškėja išreiškė savo požiūrį į teisėkūros reformas, susijusias su jos profesine sritimi, taip pat pradėjo tyrimus dėl Vyriausybės narių galbūt padarytų korupcinių nusikaltimų, susijusių su itin kvestionuotinais teisės aktais, bei informavo visuomenę apie šiuos tyrimus. Pareiškėja naudojosi galimybe reikšti savo nuomonę tiesiogiai žiniasklaidoje ir dalykiniuose susitikimuose. Pareiškėja buvo nacionalinio antikorupcijos prokuroro biuro vadovė, jos funkcijos ir pareigos apėmė pareigą reikšti nuomonę dėl teisėkūros reformų, galinčių turėti įtaką teisminei valdžiai ir jos nepriklausomumui, ypač pareiškėjos departamento vykdomai kovai prieš korupciją. Teismas pažymėjo, jog Europos Komisijos Ministrų komitetas rekomendacijoje Nr. REC(2000)19 nurodė, kad prokurorai turėtų turėti teisę dalyvauti viešose diskusijose, susijusios su teise, teisingumo vykdymu ir žmogaus laisvių apsauga, taip pat galimybę be kliūčių persekioti valstybės tarnautojus dėl jų padarytų pažeidimų, ypač korupcijos. Ši byla skiriasi nuo ankstesnių Teismo išnagrinėtų atvejų, kadangi pareiškėja kritikavo ne pačią teisminę valdžią, o teisines reformas, darančias poveikį teisminei valdžiai, be kita ko, jos funkcionavimui, t. y. kėlė visuomenei svarbius klausimus. Pareiškėjos pareiškimai neperžengė kritikos ribų išimtinai iš profesinės perspektyvos. Pareiškėjos pozicija ir pareiškimai reikalavo aukštesnės jos saviraiškos laisvės apsaugos ir išsamaus bet kokio apribojimo ištyrimo. Teismo vertinimu, išankstinis pareiškėjos pašalinimas iš DNA vyriausiojo prokuroro pareigų prieštaravo pačiam teisminių institucijų nepriklausomumo tikslui. Be to, pareiškėjos atleidimas iš pareigų laikytinas itin griežta sankcija, kuri neabejotinai atgrasė ją ir kitus prokurorus, teisėjus nuo dalyvavimo viešose diskusijose apie teisines reformas, susijusias su teismine valdžia ir jos nepriklausomumu. </w:t>
      </w:r>
    </w:p>
    <w:p w14:paraId="6A3F5D56"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Atsižvelgiant į anksčiau konstatuotą Konvencijos 6 straipsnio 1 dalies pažeidimą, pareiškėjai pritaikyti apribojimai, pažeidžiantys Konvencijos 10 straipsnį, nebuvo lydimi efektyvių ir adekvačių saugiklių nuo piktnaudžiavimo.</w:t>
      </w:r>
    </w:p>
    <w:p w14:paraId="1BEC8C9A" w14:textId="77777777" w:rsidR="00536624" w:rsidRPr="00536624" w:rsidRDefault="00536624" w:rsidP="00536624">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CDABA0C" w14:textId="77777777" w:rsidR="00536624" w:rsidRPr="00536624" w:rsidRDefault="00536624" w:rsidP="00536624">
      <w:pPr>
        <w:spacing w:after="0" w:line="240" w:lineRule="auto"/>
        <w:ind w:right="-1" w:firstLine="567"/>
        <w:jc w:val="both"/>
        <w:rPr>
          <w:rFonts w:cstheme="minorHAnsi"/>
        </w:rPr>
      </w:pPr>
      <w:r w:rsidRPr="00536624">
        <w:rPr>
          <w:rFonts w:cstheme="minorHAnsi"/>
        </w:rPr>
        <w:t xml:space="preserve">Išvada: nustatytas Konvencijos 6 straipsnio 1 dalies ir 10 straipsnio pažeidimas (vienbalsiai). </w:t>
      </w:r>
    </w:p>
    <w:p w14:paraId="75ACAA3D" w14:textId="48CA83A7" w:rsidR="00351D5B" w:rsidRPr="00536624" w:rsidRDefault="00267716" w:rsidP="00536624">
      <w:pPr>
        <w:spacing w:after="0" w:line="240" w:lineRule="auto"/>
        <w:ind w:right="-1" w:firstLine="567"/>
        <w:jc w:val="both"/>
        <w:rPr>
          <w:rFonts w:cstheme="minorHAnsi"/>
        </w:rPr>
      </w:pPr>
      <w:hyperlink r:id="rId14" w:history="1">
        <w:r w:rsidR="00536624" w:rsidRPr="00536624">
          <w:rPr>
            <w:rFonts w:cstheme="minorHAnsi"/>
            <w:color w:val="0000FF"/>
            <w:u w:val="single"/>
          </w:rPr>
          <w:t>Prieiga internete</w:t>
        </w:r>
      </w:hyperlink>
    </w:p>
    <w:p w14:paraId="6D97664A" w14:textId="77777777" w:rsidR="00351D5B" w:rsidRPr="00536624" w:rsidRDefault="00351D5B" w:rsidP="00F912E5">
      <w:pPr>
        <w:pStyle w:val="Antrat1"/>
        <w:rPr>
          <w:rFonts w:eastAsia="Times New Roman"/>
        </w:rPr>
      </w:pPr>
      <w:bookmarkStart w:id="12" w:name="_Toc52184427"/>
      <w:r w:rsidRPr="00536624">
        <w:rPr>
          <w:rFonts w:eastAsia="Times New Roman"/>
        </w:rPr>
        <w:t>NĖRA BAUSMĖS BE ĮSTATYMO (7 straipsnis)</w:t>
      </w:r>
      <w:bookmarkEnd w:id="12"/>
    </w:p>
    <w:p w14:paraId="643C2815"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2DA8990"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 xml:space="preserve">Europos Žmogaus Teisių Teismo 2020 m. gegužės 5 d. konsultacinė išvada </w:t>
      </w:r>
    </w:p>
    <w:p w14:paraId="44DC54A5" w14:textId="0D01DCA4" w:rsidR="00351D5B" w:rsidRPr="00536624" w:rsidRDefault="00351D5B" w:rsidP="003460C1">
      <w:pPr>
        <w:pStyle w:val="Antrat2"/>
        <w:jc w:val="center"/>
        <w:rPr>
          <w:i/>
          <w:color w:val="2E74B5"/>
        </w:rPr>
      </w:pPr>
      <w:bookmarkStart w:id="13" w:name="_Toc52184428"/>
      <w:r w:rsidRPr="00536624">
        <w:rPr>
          <w:rFonts w:eastAsia="Times New Roman"/>
          <w:i/>
        </w:rPr>
        <w:t>pagal Armėnijos Konstitucinio Teismo prašymą</w:t>
      </w:r>
      <w:bookmarkEnd w:id="13"/>
    </w:p>
    <w:p w14:paraId="53A8172E"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(prašymo Nr. P16-2019-001, svarbos lygis – skelbta rinkinyje)</w:t>
      </w:r>
    </w:p>
    <w:p w14:paraId="728E265C"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526291C7" w14:textId="77777777" w:rsidR="00351D5B" w:rsidRPr="00536624" w:rsidRDefault="00351D5B" w:rsidP="005D6E08">
      <w:pPr>
        <w:pStyle w:val="Antrat3"/>
        <w:ind w:firstLine="567"/>
        <w:jc w:val="both"/>
      </w:pPr>
      <w:bookmarkStart w:id="14" w:name="_Toc52184429"/>
      <w:r w:rsidRPr="00536624">
        <w:t>Dėl „blanketinės normos“ arba „teisinio reguliavimo nuorodomis“ technikos naudojimo apibrėžiant nusikalstamą veiką ir standartų, taikytinų lyginant baudžiamąjį įstatymą, galiojusį nusikalstamos veikos padarymo metu, ir pakeistą baudžiamąjį įstatymą</w:t>
      </w:r>
      <w:bookmarkEnd w:id="14"/>
    </w:p>
    <w:p w14:paraId="2A7F70F6"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61D55E5"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5E752BC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01E29D1" w14:textId="5C93A75B"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2018 metais buvusiam Armėnijos prezidentui </w:t>
      </w:r>
      <w:r w:rsidR="00863FBB">
        <w:rPr>
          <w:rFonts w:eastAsia="Times New Roman" w:cstheme="minorHAnsi"/>
          <w:color w:val="000000"/>
        </w:rPr>
        <w:t xml:space="preserve">R. </w:t>
      </w:r>
      <w:proofErr w:type="spellStart"/>
      <w:r w:rsidR="00863FBB">
        <w:rPr>
          <w:rFonts w:eastAsia="Times New Roman" w:cstheme="minorHAnsi"/>
          <w:color w:val="000000"/>
        </w:rPr>
        <w:t>Kocharyan</w:t>
      </w:r>
      <w:proofErr w:type="spellEnd"/>
      <w:r w:rsidRPr="00536624">
        <w:rPr>
          <w:rFonts w:eastAsia="Times New Roman" w:cstheme="minorHAnsi"/>
          <w:color w:val="000000"/>
        </w:rPr>
        <w:t xml:space="preserve"> buvo pareikšti kaltinimai pagal 2009 metų Baudžiamojo kodekso 300 straipsnio 1 dalį dėl konstitucinės santvarkos perversmo iš esmės dėl to, kad jis paskelbė nepaprastąją padėtį ir 2008 m. vasario–kovo mėnesiais panaudojo ginkluotąsias pajėgas porinkiminiams protestams malšinti. 2009 metais Baudžiamasis kodeksas buvo pataisytas, be kita ko, pakeičiant nusikaltimų „valdžios užgrobimas“ (300 str.) ir „konstitucinės santvarkos perversmas“ (300 str. 1 d.) apibrėžimą, tačiau bausmė už abu nusikaltimus liko ta pati. 2009 metų Baudžiamojo kodekso 300 straipsnio 1 dalyje nurodytas nusikaltimas apibrėžiamas kaip „bet kurios iš Konstitucijos 1–5 straipsniuose ir 6 straipsnio 1 dalyje įtvirtintų normų </w:t>
      </w:r>
      <w:r w:rsidRPr="00536624">
        <w:rPr>
          <w:rFonts w:eastAsia="Times New Roman" w:cstheme="minorHAnsi"/>
          <w:i/>
          <w:color w:val="000000"/>
        </w:rPr>
        <w:t>de facto</w:t>
      </w:r>
      <w:r w:rsidRPr="00536624">
        <w:rPr>
          <w:rFonts w:eastAsia="Times New Roman" w:cstheme="minorHAnsi"/>
          <w:color w:val="000000"/>
        </w:rPr>
        <w:t xml:space="preserve"> eliminavimas, panaikinant tos normos galiojimą teisinėje </w:t>
      </w:r>
      <w:r w:rsidRPr="00536624">
        <w:rPr>
          <w:rFonts w:eastAsia="Times New Roman" w:cstheme="minorHAnsi"/>
          <w:color w:val="000000"/>
        </w:rPr>
        <w:lastRenderedPageBreak/>
        <w:t xml:space="preserve">sistemoje“. Anksčiau šis apibrėžimas buvo platesnis, nes baudžiamu buvo laikomas bet koks veiksmas, kuriuo siekiama konstitucinės santvarkos perversmo, ir jis neapėmė smurtinio elemento. Bylos nagrinėjimo metu pirmosios instancijos teismas ir </w:t>
      </w:r>
      <w:r w:rsidR="00863FBB">
        <w:rPr>
          <w:rFonts w:eastAsia="Times New Roman" w:cstheme="minorHAnsi"/>
          <w:color w:val="000000"/>
        </w:rPr>
        <w:t xml:space="preserve">R. </w:t>
      </w:r>
      <w:proofErr w:type="spellStart"/>
      <w:r w:rsidR="00863FBB">
        <w:rPr>
          <w:rFonts w:eastAsia="Times New Roman" w:cstheme="minorHAnsi"/>
          <w:color w:val="000000"/>
        </w:rPr>
        <w:t>Kocharyan</w:t>
      </w:r>
      <w:proofErr w:type="spellEnd"/>
      <w:r w:rsidR="00863FBB" w:rsidRPr="00536624">
        <w:rPr>
          <w:rFonts w:eastAsia="Times New Roman" w:cstheme="minorHAnsi"/>
          <w:color w:val="000000"/>
        </w:rPr>
        <w:t xml:space="preserve"> </w:t>
      </w:r>
      <w:r w:rsidRPr="00536624">
        <w:rPr>
          <w:rFonts w:eastAsia="Times New Roman" w:cstheme="minorHAnsi"/>
          <w:color w:val="000000"/>
        </w:rPr>
        <w:t>pateikė pareiškimus Konstituciniam Teismui, kuris kreipėsi į Europos Žmogaus Teisių Teismą, prašydamas pateikti nuomonę dėl Konvencijos 7 straipsnio nuostatų taikymo.</w:t>
      </w:r>
    </w:p>
    <w:p w14:paraId="303728AB"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4F1FF79F"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konsultacinės išvados apžvalga</w:t>
      </w:r>
    </w:p>
    <w:p w14:paraId="186B5DE4"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9FDA01C" w14:textId="2DA8F1A4"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atsakydamas į klausimą, ar baudžiamasis įstatymas, kuriame apibrėžiama nusikalstama veika ir pateikiamos nuorodos į atitinkamas teisės normas, įtvirtintas aukščiausią galią turinčiame teisės akte ir turinčias aukštesnį abstraktumo lygį, atitinka teisinio tikrumo, prieinamumo, </w:t>
      </w:r>
      <w:proofErr w:type="spellStart"/>
      <w:r w:rsidRPr="00536624">
        <w:rPr>
          <w:rFonts w:eastAsia="Times New Roman" w:cstheme="minorHAnsi"/>
          <w:color w:val="000000"/>
        </w:rPr>
        <w:t>numatomumo</w:t>
      </w:r>
      <w:proofErr w:type="spellEnd"/>
      <w:r w:rsidRPr="00536624">
        <w:rPr>
          <w:rFonts w:eastAsia="Times New Roman" w:cstheme="minorHAnsi"/>
          <w:color w:val="000000"/>
        </w:rPr>
        <w:t xml:space="preserve"> ir stabilumo reikalavimus, pažymėjo, jog šis klausimas susijęs su aplinkybe, kad </w:t>
      </w:r>
      <w:r w:rsidR="00863FBB">
        <w:rPr>
          <w:rFonts w:eastAsia="Times New Roman" w:cstheme="minorHAnsi"/>
          <w:color w:val="000000"/>
        </w:rPr>
        <w:t xml:space="preserve">R. </w:t>
      </w:r>
      <w:proofErr w:type="spellStart"/>
      <w:r w:rsidR="00863FBB">
        <w:rPr>
          <w:rFonts w:eastAsia="Times New Roman" w:cstheme="minorHAnsi"/>
          <w:color w:val="000000"/>
        </w:rPr>
        <w:t>Kocharyan</w:t>
      </w:r>
      <w:proofErr w:type="spellEnd"/>
      <w:r w:rsidR="00863FBB" w:rsidRPr="00536624">
        <w:rPr>
          <w:rFonts w:eastAsia="Times New Roman" w:cstheme="minorHAnsi"/>
          <w:color w:val="000000"/>
        </w:rPr>
        <w:t xml:space="preserve"> </w:t>
      </w:r>
      <w:r w:rsidRPr="00536624">
        <w:rPr>
          <w:rFonts w:eastAsia="Times New Roman" w:cstheme="minorHAnsi"/>
          <w:color w:val="000000"/>
        </w:rPr>
        <w:t xml:space="preserve">buvo apkaltintas nusikaltimu, apibrėžtu naudojant „blanketinės normos“ arba „teisinio reguliavimo nuorodomis“ techniką (t. y. techniką, pagal kurią, nustatant baudžiamosios veikos sudėties požymius, baudžiamosios teisės esminės nuostatos nukreipia į teisės normas už baudžiamosios teisės ribų). Teismas savo jurisprudencijoje (2008 m. vasario 19 d. sprendimas </w:t>
      </w:r>
      <w:r w:rsidRPr="00536624">
        <w:rPr>
          <w:rFonts w:eastAsia="Times New Roman" w:cstheme="minorHAnsi"/>
          <w:i/>
          <w:iCs/>
          <w:color w:val="000000"/>
        </w:rPr>
        <w:t>Kuolelis ir kiti prieš Lietuvą</w:t>
      </w:r>
      <w:r w:rsidRPr="00536624">
        <w:rPr>
          <w:rFonts w:eastAsia="Times New Roman" w:cstheme="minorHAnsi"/>
          <w:color w:val="000000"/>
        </w:rPr>
        <w:t xml:space="preserve"> (pareiškimo Nr. 74357 ir kt.), 2017 m. lapkričio 23 d. sprendimas </w:t>
      </w:r>
      <w:r w:rsidRPr="00536624">
        <w:rPr>
          <w:rFonts w:eastAsia="Times New Roman" w:cstheme="minorHAnsi"/>
          <w:i/>
          <w:iCs/>
          <w:color w:val="000000"/>
        </w:rPr>
        <w:t>HAARDE prieš Islandiją</w:t>
      </w:r>
      <w:r w:rsidRPr="00536624">
        <w:rPr>
          <w:rFonts w:eastAsia="Times New Roman" w:cstheme="minorHAnsi"/>
          <w:color w:val="000000"/>
        </w:rPr>
        <w:t xml:space="preserve"> (pareiškimo Nr. 66847/12)) jau yra netiesiogiai pripažinęs tokios technikos naudojimą ir tyręs, ar baudžiamasis įstatymas, kuriame pateikiama nuoroda į Konstitucijos normas, ir konstitucinė norma, į kurią pateikiama nuoroda (skaitant kartu) yra pakankamai aiškios ir numatomos taikymo aspektu. Akcentuota, kad dėl aukšto abstraktumo lygio konstitucinės normos dažnai yra plėtojamos per žemesnės galios teisės aktus, nekodifikuotus konstitucinius papročius ir jurisprudenciją. Teismas nenustatė pagrindo nukrypti nuo ankstesnės pozicijos, jog Konvencijos 7 straipsnis neprieštarauja, kad nacionaliniai teismai, analizuodami konstitucinio pobūdžio nuostatos, kuria grindžiamas pažeidimas, </w:t>
      </w:r>
      <w:proofErr w:type="spellStart"/>
      <w:r w:rsidRPr="00536624">
        <w:rPr>
          <w:rFonts w:eastAsia="Times New Roman" w:cstheme="minorHAnsi"/>
          <w:color w:val="000000"/>
        </w:rPr>
        <w:t>numatomumą</w:t>
      </w:r>
      <w:proofErr w:type="spellEnd"/>
      <w:r w:rsidRPr="00536624">
        <w:rPr>
          <w:rFonts w:eastAsia="Times New Roman" w:cstheme="minorHAnsi"/>
          <w:color w:val="000000"/>
        </w:rPr>
        <w:t xml:space="preserve">, atsižvelgtų į egzistuojančią konstitucinę praktiką. </w:t>
      </w:r>
    </w:p>
    <w:p w14:paraId="41F4396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pabrėžė, kad nors „blanketinės normos“ arba „teisinio reguliavimo nuorodomis“ technika nėra savaime nesuderinama su Konvencijos 7 straipsnio nuostatomis, tačiau, siekiant nepažeisti šių nuostatų, baudžiamasis įstatymas, nusikalstamą veiką apibrėžiantis naudojant šią techniką, turėjo būti pakankamai tikslus, prieinamas ir numatomas taikymo aspektu. Abi normos (blanketinė norma ir norma, į kurią pateikiama nuoroda), vertinant kartu, turi sudaryti galimybę individui numatyti (prireikus, su atitinkama teisine pagalba), koks elgesio modelis lems jam baudžiamąją atsakomybę. Šis reikalavimas taikomas ir situacijoms, kai norma, į kurią pateikiama nuoroda, turi aukštesnę teisinę galią teisės aktų hierarchijoje arba aukštesnį abstraktumo lygį nei blanketinė norma. Efektyviausias būdas užtikrinti aiškumą ir </w:t>
      </w:r>
      <w:proofErr w:type="spellStart"/>
      <w:r w:rsidRPr="00536624">
        <w:rPr>
          <w:rFonts w:eastAsia="Times New Roman" w:cstheme="minorHAnsi"/>
          <w:color w:val="000000"/>
        </w:rPr>
        <w:t>numatomumą</w:t>
      </w:r>
      <w:proofErr w:type="spellEnd"/>
      <w:r w:rsidRPr="00536624">
        <w:rPr>
          <w:rFonts w:eastAsia="Times New Roman" w:cstheme="minorHAnsi"/>
          <w:color w:val="000000"/>
        </w:rPr>
        <w:t xml:space="preserve"> yra nuorodą įtvirtinti tiesiogiai, o normoje, į kurią pateikiama nuoroda, išdėstyti nusikalstamos veikos sudėties požymius. Be to, norma, į kurią pateikiama nuoroda, negali išplėsti baudžiamosios atsakomybės, nurodytos blanketinėje normoje. Bet kokiu atveju būtent teismas, taikantis blanketinę normą ir normą, į kurią pateikiama nuoroda, turi įvertinti, ar baudžiamoji atsakomybė galėjo būti numatyta bylos aplinkybių visumoje.</w:t>
      </w:r>
    </w:p>
    <w:p w14:paraId="514BC99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atsakydamas į klausimą, atsižvelgiant į baudžiamojoje teisėje taikomą principą „įstatymas negalioja atgal“, kokiais standartais turi būti vadovaujamasi lyginant baudžiamąjį įstatymą, galiojusį nusikalstamos veikos padarymo metu, ir pataisytą baudžiamąjį įstatymą, siekiant nustatyti kontekstinius (esminius) panašumus ar skirtumus, nurodė, jog, nagrinėjant tokio pobūdžio atvejus, pirmiausiai nustatytina, ar tiriami veiksmai lėmė baudžiamąją atsakomybę pagal teisinį reguliavimą, galiojusį jų padarymo metu, bei pabrėžė, kad skiriama bausmė negali viršyti ribų, galiojusių nusikalstamos veikos padarymo metu. Lygindamas baudžiamąjį įstatymą, galiojusį nusikalstamos veikos padarymo metu, ir pataisytą baudžiamąjį įstatymą bylą nagrinėjantis teismas turi ne lyginti apibrėžimus ar formalias nusikalstamos veikos klasifikacijas </w:t>
      </w:r>
      <w:proofErr w:type="spellStart"/>
      <w:r w:rsidRPr="00536624">
        <w:rPr>
          <w:rFonts w:eastAsia="Times New Roman" w:cstheme="minorHAnsi"/>
          <w:i/>
          <w:color w:val="000000"/>
        </w:rPr>
        <w:t>in</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abstracto</w:t>
      </w:r>
      <w:proofErr w:type="spellEnd"/>
      <w:r w:rsidRPr="00536624">
        <w:rPr>
          <w:rFonts w:eastAsia="Times New Roman" w:cstheme="minorHAnsi"/>
          <w:color w:val="000000"/>
        </w:rPr>
        <w:t xml:space="preserve">, bet </w:t>
      </w:r>
      <w:proofErr w:type="spellStart"/>
      <w:r w:rsidRPr="00536624">
        <w:rPr>
          <w:rFonts w:eastAsia="Times New Roman" w:cstheme="minorHAnsi"/>
          <w:i/>
          <w:color w:val="000000"/>
        </w:rPr>
        <w:t>in</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concreto</w:t>
      </w:r>
      <w:proofErr w:type="spellEnd"/>
      <w:r w:rsidRPr="00536624">
        <w:rPr>
          <w:rFonts w:eastAsia="Times New Roman" w:cstheme="minorHAnsi"/>
          <w:color w:val="000000"/>
        </w:rPr>
        <w:t xml:space="preserve">, atsižvelgdamas į konkrečias bylos aplinkybes. Nors Teismas konkretumo principą plėtojo bylose, susijusiose su taikytinos bausmės pakeitimu (pvz., 2013 m. liepos 18 d. sprendimas </w:t>
      </w:r>
      <w:proofErr w:type="spellStart"/>
      <w:r w:rsidRPr="00536624">
        <w:rPr>
          <w:rFonts w:eastAsia="Times New Roman" w:cstheme="minorHAnsi"/>
          <w:i/>
          <w:color w:val="000000"/>
        </w:rPr>
        <w:t>Maktouf</w:t>
      </w:r>
      <w:proofErr w:type="spellEnd"/>
      <w:r w:rsidRPr="00536624">
        <w:rPr>
          <w:rFonts w:eastAsia="Times New Roman" w:cstheme="minorHAnsi"/>
          <w:i/>
          <w:color w:val="000000"/>
        </w:rPr>
        <w:t xml:space="preserve"> ir </w:t>
      </w:r>
      <w:proofErr w:type="spellStart"/>
      <w:r w:rsidRPr="00536624">
        <w:rPr>
          <w:rFonts w:eastAsia="Times New Roman" w:cstheme="minorHAnsi"/>
          <w:i/>
          <w:color w:val="000000"/>
        </w:rPr>
        <w:t>Damjanovic</w:t>
      </w:r>
      <w:proofErr w:type="spellEnd"/>
      <w:r w:rsidRPr="00536624">
        <w:rPr>
          <w:rFonts w:eastAsia="Times New Roman" w:cstheme="minorHAnsi"/>
          <w:i/>
          <w:color w:val="000000"/>
        </w:rPr>
        <w:t xml:space="preserve"> prieš Bosniją ir Hercegoviną</w:t>
      </w:r>
      <w:r w:rsidRPr="00536624">
        <w:rPr>
          <w:rFonts w:eastAsia="Times New Roman" w:cstheme="minorHAnsi"/>
          <w:iCs/>
          <w:color w:val="000000"/>
        </w:rPr>
        <w:t xml:space="preserve"> (pareiškimų Nr. 2312/08, 34179/08</w:t>
      </w:r>
      <w:r w:rsidRPr="00536624">
        <w:rPr>
          <w:rFonts w:eastAsia="Times New Roman" w:cstheme="minorHAnsi"/>
          <w:color w:val="000000"/>
        </w:rPr>
        <w:t xml:space="preserve">), šis principas turėtų būti taikomas ir atliekant nusikalstamos veikos apibrėžimo palyginimą. Kitaip tariant, siekiant nustatyti, ar (Konvencijos 7 str. atžvilgiu) įstatymas, priimtas po galbūt įvykdytos nusikalstamos veikos, yra daugiau (mažiau) palankus kaltinamajam nei įstatymas, galiojęs įtariamos nusikalstamos veikos padarymo metu, turi būti atsižvelgiama į bylos aplinkybes (konkretumo principas). Jeigu vėlesnis įstatymas yra griežtesnis už įstatymą, galiojusį įtariamos nusikalstamos veikos padarymo metu, jis negali būti taikomas. </w:t>
      </w:r>
    </w:p>
    <w:p w14:paraId="63825CA8" w14:textId="77777777" w:rsidR="00351D5B" w:rsidRPr="00536624" w:rsidRDefault="00351D5B" w:rsidP="00351D5B">
      <w:pPr>
        <w:spacing w:after="0" w:line="240" w:lineRule="auto"/>
        <w:ind w:right="-1" w:firstLine="567"/>
        <w:jc w:val="both"/>
        <w:rPr>
          <w:rFonts w:cstheme="minorHAnsi"/>
        </w:rPr>
      </w:pPr>
    </w:p>
    <w:p w14:paraId="1B2983F5" w14:textId="77777777" w:rsidR="00351D5B" w:rsidRPr="00536624" w:rsidRDefault="00267716" w:rsidP="00351D5B">
      <w:pPr>
        <w:spacing w:after="0" w:line="240" w:lineRule="auto"/>
        <w:ind w:right="-1" w:firstLine="567"/>
        <w:jc w:val="both"/>
        <w:rPr>
          <w:rFonts w:cstheme="minorHAnsi"/>
        </w:rPr>
      </w:pPr>
      <w:hyperlink r:id="rId15" w:history="1">
        <w:r w:rsidR="00351D5B" w:rsidRPr="00536624">
          <w:rPr>
            <w:rFonts w:cstheme="minorHAnsi"/>
            <w:color w:val="0000FF"/>
            <w:u w:val="single"/>
          </w:rPr>
          <w:t>Prieiga internete</w:t>
        </w:r>
      </w:hyperlink>
    </w:p>
    <w:p w14:paraId="27698DE4" w14:textId="77777777" w:rsidR="00351D5B" w:rsidRPr="00536624" w:rsidRDefault="00351D5B" w:rsidP="00863FBB">
      <w:pPr>
        <w:spacing w:after="0" w:line="240" w:lineRule="auto"/>
        <w:ind w:right="-1"/>
        <w:jc w:val="both"/>
        <w:rPr>
          <w:rFonts w:cstheme="minorHAnsi"/>
        </w:rPr>
      </w:pPr>
    </w:p>
    <w:p w14:paraId="03D4E873" w14:textId="77777777" w:rsidR="00351D5B" w:rsidRPr="00536624" w:rsidRDefault="00351D5B" w:rsidP="00F912E5">
      <w:pPr>
        <w:pStyle w:val="Antrat1"/>
        <w:rPr>
          <w:rFonts w:eastAsia="Times New Roman"/>
        </w:rPr>
      </w:pPr>
      <w:bookmarkStart w:id="15" w:name="_Toc52184430"/>
      <w:r w:rsidRPr="00536624">
        <w:rPr>
          <w:rFonts w:eastAsia="Times New Roman"/>
        </w:rPr>
        <w:t>TEISĖ Į PRIVATAUS IR ŠEIMOS GYVENIMO GERBIMĄ (8 straipsnis)</w:t>
      </w:r>
      <w:bookmarkEnd w:id="15"/>
    </w:p>
    <w:p w14:paraId="19E633BC"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2F5B705D"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sausio 7 d. sprendimas byloje</w:t>
      </w:r>
    </w:p>
    <w:p w14:paraId="61F27B0C" w14:textId="77777777" w:rsidR="00351D5B" w:rsidRPr="00536624" w:rsidRDefault="00351D5B" w:rsidP="003460C1">
      <w:pPr>
        <w:pStyle w:val="Antrat2"/>
        <w:jc w:val="center"/>
        <w:rPr>
          <w:i/>
        </w:rPr>
      </w:pPr>
      <w:bookmarkStart w:id="16" w:name="_Toc52184431"/>
      <w:proofErr w:type="spellStart"/>
      <w:r w:rsidRPr="00536624">
        <w:rPr>
          <w:i/>
        </w:rPr>
        <w:t>Ciupercescu</w:t>
      </w:r>
      <w:proofErr w:type="spellEnd"/>
      <w:r w:rsidRPr="00536624">
        <w:rPr>
          <w:i/>
        </w:rPr>
        <w:t xml:space="preserve"> prieš Rumuniją (Nr. 3)</w:t>
      </w:r>
      <w:bookmarkEnd w:id="16"/>
    </w:p>
    <w:p w14:paraId="2E675E57"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(pareiškimų Nr. 41995/14, Nr. 50276/15, svarbos lygis – 3)</w:t>
      </w:r>
    </w:p>
    <w:p w14:paraId="4E9B076C"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2C788F94" w14:textId="77777777" w:rsidR="00351D5B" w:rsidRPr="00536624" w:rsidRDefault="00351D5B" w:rsidP="005D6E08">
      <w:pPr>
        <w:pStyle w:val="Antrat3"/>
        <w:ind w:firstLine="567"/>
        <w:jc w:val="both"/>
      </w:pPr>
      <w:bookmarkStart w:id="17" w:name="_Toc52184432"/>
      <w:r w:rsidRPr="00536624">
        <w:t>Dėl laikino ribojimo kaliniui pasinaudoti interneto ryšio priemonėmis bendraujant su šeimos nariais</w:t>
      </w:r>
      <w:bookmarkEnd w:id="17"/>
    </w:p>
    <w:p w14:paraId="2828F656"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467F055A"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11FD2BCF"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8865D12" w14:textId="0076A33E"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cstheme="minorHAnsi"/>
          <w:highlight w:val="yellow"/>
        </w:rPr>
      </w:pPr>
      <w:r w:rsidRPr="00536624">
        <w:rPr>
          <w:rFonts w:eastAsia="Times New Roman" w:cstheme="minorHAnsi"/>
          <w:color w:val="000000"/>
        </w:rPr>
        <w:t>Pareiškėjas nuo 2009 m. iki 2016 m. pabaigos atlikinėjo laisvės atėmimo bausmę. 2014 m. vasario mėnesį įsigaliojo įstatymas, leidęs kalini</w:t>
      </w:r>
      <w:r w:rsidR="00863FBB">
        <w:rPr>
          <w:rFonts w:eastAsia="Times New Roman" w:cstheme="minorHAnsi"/>
          <w:color w:val="000000"/>
        </w:rPr>
        <w:t>am</w:t>
      </w:r>
      <w:r w:rsidRPr="00536624">
        <w:rPr>
          <w:rFonts w:eastAsia="Times New Roman" w:cstheme="minorHAnsi"/>
          <w:color w:val="000000"/>
        </w:rPr>
        <w:t xml:space="preserve">s tam tikromis aplinkybėmis palaikyti ryšį su išore, ypač su šeimos nariais, bendraujant internetu. Konkretūs šios teisės įgyvendinimo aspektai turėjo būti įtvirtinti atitinkamame akte per šešis mėnesius, tačiau toks aktas priimtas </w:t>
      </w:r>
      <w:r w:rsidR="00FD28AF">
        <w:rPr>
          <w:rFonts w:eastAsia="Times New Roman" w:cstheme="minorHAnsi"/>
          <w:color w:val="000000"/>
        </w:rPr>
        <w:t xml:space="preserve">tik </w:t>
      </w:r>
      <w:r w:rsidRPr="00536624">
        <w:rPr>
          <w:rFonts w:eastAsia="Times New Roman" w:cstheme="minorHAnsi"/>
          <w:color w:val="000000"/>
        </w:rPr>
        <w:t>2016 m. balandžio mėnesį. Pareiškėjas nuo 2015 m. balandžio mėnesio skundėsi minėtos teisės įgyvendin</w:t>
      </w:r>
      <w:r w:rsidR="00FD28AF">
        <w:rPr>
          <w:rFonts w:eastAsia="Times New Roman" w:cstheme="minorHAnsi"/>
          <w:color w:val="000000"/>
        </w:rPr>
        <w:t>imo trūkumu, argumentuodamas tuo</w:t>
      </w:r>
      <w:r w:rsidRPr="00536624">
        <w:rPr>
          <w:rFonts w:eastAsia="Times New Roman" w:cstheme="minorHAnsi"/>
          <w:color w:val="000000"/>
        </w:rPr>
        <w:t>, jog jo sutuoktinė gali jį aplankyti tik kas tris mėnesius, nes gyveno toli, Italijoje.</w:t>
      </w:r>
    </w:p>
    <w:p w14:paraId="15AD5036"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cstheme="minorHAnsi"/>
        </w:rPr>
      </w:pPr>
      <w:r w:rsidRPr="00536624">
        <w:rPr>
          <w:rFonts w:cstheme="minorHAnsi"/>
        </w:rPr>
        <w:t>Pareiškėjas šiuo aspektu nesėkmingai skundėsi nacionaliniams teismams, kurie, remdamiesi vidaus įstatymų nuostatomis, sutiko su minėtos teisės egzistavimu ir nustatė, kad reguliavimo, leidžiančio įgyvendinti šią teisę, trūkumas reiškia nuolatinį jos pažeidimą, tačiau kartu pabrėžė, jog įkalinimo vietos administracija negali būti atsakinga už valstybės institucijas, nepriimančias tokios teisės įgyvendinimui būtino akto per įstatyme nustatytą terminą.</w:t>
      </w:r>
    </w:p>
    <w:p w14:paraId="34EAE4D6" w14:textId="62613C31"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cstheme="minorHAnsi"/>
        </w:rPr>
        <w:t>Be kita ko</w:t>
      </w:r>
      <w:r w:rsidR="00FD28AF">
        <w:rPr>
          <w:rFonts w:cstheme="minorHAnsi"/>
        </w:rPr>
        <w:t>,</w:t>
      </w:r>
      <w:r w:rsidRPr="00536624">
        <w:rPr>
          <w:rFonts w:cstheme="minorHAnsi"/>
        </w:rPr>
        <w:t xml:space="preserve"> skųsdamasis ir dėl kitų kalinimo sąlygų, pareiškėjas, remdamasis Konvencijos 8 straipsniu, kreipėsi į Teismą tvirtindamas, jog taip buvo pažeista jo teisė į šeimos ir gyvenimo privatumą.</w:t>
      </w:r>
    </w:p>
    <w:p w14:paraId="3259A894"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p>
    <w:p w14:paraId="34A51081"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B76FD6E"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EE53342" w14:textId="3DAFEAD8"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Nagrinėjamu skundo aspektu Teismas akcentavo, jog kalinio teisė į šeimos gyvenimo gerbimą apima valstybės institucijų pareigą sudaryti jam sąlygas arba, esant poreikiui, padėti jam palaikyti ryšius su artimais šeimos nariais. Kita vertus, Konvencijos 8 straipsnis negali būti aiškinamas kaip užtikrinantis kaliniams teisę bendrauti su išoriniu pasauliu internetinio ryšio priemonėmis, ypač kai egzistuoja prieinamos ir adekvačios galimybės bendrauti alternatyviais būdais. Šiuo atveju nacionalinė teisė leido kaliniams palaikyti ryšį su išoriniu pasauliu (ypač šeimos nariais) internetinio ryšio priemonėmis. Teisinis reguliavimas šiai teisei įgyvendinti buvo priimtas praėjus 1 metams ir 8 mėnesiams nuo atitinkamos įstatymo nuostatos įsigaliojimo. Be to, nacionaliniai teismai pripažino pareiškėjo teisę bendrauti su savo žmona internetinio ryšio priemonėmis. Atsižvelgdamas į tai, Teismas konstatavo, jog pareiškėjo prieiga prie ryšio priemonių, siekiant bendrauti su savo žmona (t. y. nacionalinės teisės suteikta teisė), buvo apribota. Kita vertus, Teismas atkreipė dėmesį į tai, kad minėtas ribojimas truko palyginti trumpą laiką (nuo 2015 m. balandžio mėn. iki (vėliausiai) 2016 m. balandžio mėn.), šiuo laikotarpiu pareiškėjo žmona galėjo jį lankyti ir nėra įrodymų, jog tuo pačiu laikotarpiu buvo apribota pareiškėjo teisė skambinti telefonu. Teismas nenustatė kliūčių pareiškėjui palaikyti reikšmingus ryšius su savo žmona, pasinaudojant alternatyviais komunikacijos būdais laikotarpiu, kai dėl tinkamo teisinio reglamentavimo bei infrastruktūros trūkumo jie negalėjo bendrauti internetinio ryšio priemonėmis, todėl toks ribojimas nelaikytinas Konvencijos 8 straipsnio pažeidimu, o skundo atitinkama dalis laikytina akivaizdžiai nepagrįsta ir nepri</w:t>
      </w:r>
      <w:r w:rsidR="00FD28AF">
        <w:rPr>
          <w:rFonts w:eastAsia="Times New Roman" w:cstheme="minorHAnsi"/>
          <w:color w:val="000000"/>
        </w:rPr>
        <w:t>imtina pagal Konvencijos 35 straipsnio</w:t>
      </w:r>
      <w:r w:rsidRPr="00536624">
        <w:rPr>
          <w:rFonts w:eastAsia="Times New Roman" w:cstheme="minorHAnsi"/>
          <w:color w:val="000000"/>
        </w:rPr>
        <w:t xml:space="preserve"> 3 ir 4 dalis.</w:t>
      </w:r>
    </w:p>
    <w:p w14:paraId="19EC6410" w14:textId="77777777" w:rsidR="00351D5B" w:rsidRPr="00536624" w:rsidRDefault="00351D5B" w:rsidP="00351D5B">
      <w:pPr>
        <w:spacing w:after="0" w:line="240" w:lineRule="auto"/>
        <w:ind w:right="-1" w:firstLine="567"/>
        <w:jc w:val="both"/>
        <w:rPr>
          <w:rFonts w:cstheme="minorHAnsi"/>
        </w:rPr>
      </w:pPr>
    </w:p>
    <w:p w14:paraId="1CC781AC" w14:textId="77777777" w:rsidR="00351D5B" w:rsidRPr="00536624" w:rsidRDefault="00351D5B" w:rsidP="00351D5B">
      <w:pPr>
        <w:spacing w:after="0" w:line="240" w:lineRule="auto"/>
        <w:ind w:right="-1" w:firstLine="567"/>
        <w:jc w:val="both"/>
        <w:rPr>
          <w:rFonts w:cstheme="minorHAnsi"/>
          <w:color w:val="000000"/>
        </w:rPr>
      </w:pPr>
      <w:r w:rsidRPr="00536624">
        <w:rPr>
          <w:rFonts w:cstheme="minorHAnsi"/>
        </w:rPr>
        <w:t xml:space="preserve">Išvada: skundas nepriimtinas kaip akivaizdžiai nepagrįstas. </w:t>
      </w:r>
    </w:p>
    <w:p w14:paraId="2CC65E61" w14:textId="77777777" w:rsidR="00351D5B" w:rsidRPr="00536624" w:rsidRDefault="00267716" w:rsidP="00351D5B">
      <w:pPr>
        <w:spacing w:after="0" w:line="240" w:lineRule="auto"/>
        <w:ind w:right="-1" w:firstLine="567"/>
        <w:jc w:val="both"/>
        <w:rPr>
          <w:rFonts w:cstheme="minorHAnsi"/>
        </w:rPr>
      </w:pPr>
      <w:hyperlink r:id="rId16" w:anchor="{&quot;fulltext&quot;:[&quot;41995&quot;],&quot;documentcollectionid2&quot;:[&quot;GRANDCHAMBER&quot;,&quot;CHAMBER&quot;],&quot;itemid&quot;:[&quot;001-200045&quot;]}" w:history="1">
        <w:r w:rsidR="00351D5B" w:rsidRPr="00536624">
          <w:rPr>
            <w:rFonts w:cstheme="minorHAnsi"/>
            <w:color w:val="0000FF"/>
            <w:u w:val="single"/>
          </w:rPr>
          <w:t>Prieiga internete</w:t>
        </w:r>
      </w:hyperlink>
    </w:p>
    <w:p w14:paraId="511F803C"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40876533"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sausio 30 d. sprendimas byloje</w:t>
      </w:r>
    </w:p>
    <w:p w14:paraId="2542227B" w14:textId="77777777" w:rsidR="00351D5B" w:rsidRPr="00536624" w:rsidRDefault="00351D5B" w:rsidP="00351D5B">
      <w:pPr>
        <w:pStyle w:val="Antrat2"/>
        <w:ind w:right="-1" w:firstLine="0"/>
        <w:jc w:val="center"/>
        <w:rPr>
          <w:rFonts w:eastAsia="Calibri" w:cstheme="minorHAnsi"/>
          <w:i/>
        </w:rPr>
      </w:pPr>
      <w:bookmarkStart w:id="18" w:name="_Toc52184433"/>
      <w:proofErr w:type="spellStart"/>
      <w:r w:rsidRPr="00536624">
        <w:rPr>
          <w:rFonts w:eastAsia="Calibri" w:cstheme="minorHAnsi"/>
          <w:i/>
        </w:rPr>
        <w:lastRenderedPageBreak/>
        <w:t>Breyer</w:t>
      </w:r>
      <w:proofErr w:type="spellEnd"/>
      <w:r w:rsidRPr="00536624">
        <w:rPr>
          <w:rFonts w:eastAsia="Calibri" w:cstheme="minorHAnsi"/>
          <w:i/>
        </w:rPr>
        <w:t xml:space="preserve"> prieš Vokietiją</w:t>
      </w:r>
      <w:bookmarkEnd w:id="18"/>
    </w:p>
    <w:p w14:paraId="75319110"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5001/12</w:t>
      </w:r>
      <w:r w:rsidRPr="00536624">
        <w:rPr>
          <w:rFonts w:cstheme="minorHAnsi"/>
          <w:b/>
        </w:rPr>
        <w:t>, svarbos lygis – 1</w:t>
      </w:r>
      <w:r w:rsidRPr="00536624">
        <w:rPr>
          <w:rFonts w:eastAsia="Times New Roman" w:cstheme="minorHAnsi"/>
          <w:b/>
        </w:rPr>
        <w:t>)</w:t>
      </w:r>
    </w:p>
    <w:p w14:paraId="0996FE7D" w14:textId="77777777" w:rsidR="00351D5B" w:rsidRPr="00536624" w:rsidRDefault="00351D5B" w:rsidP="00351D5B">
      <w:pPr>
        <w:shd w:val="clear" w:color="auto" w:fill="FFFFFF"/>
        <w:spacing w:after="0" w:line="240" w:lineRule="auto"/>
        <w:ind w:right="-1" w:firstLine="567"/>
        <w:jc w:val="center"/>
        <w:rPr>
          <w:rFonts w:eastAsia="Times New Roman" w:cstheme="minorHAnsi"/>
          <w:b/>
          <w:bCs/>
          <w:color w:val="000000"/>
        </w:rPr>
      </w:pPr>
    </w:p>
    <w:p w14:paraId="00ADB5A4"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19" w:name="_Toc35601480"/>
      <w:bookmarkStart w:id="20" w:name="_Toc52184434"/>
      <w:r w:rsidRPr="00536624">
        <w:rPr>
          <w:rFonts w:eastAsia="Calibri" w:cstheme="minorHAnsi"/>
          <w:bCs/>
          <w:iCs/>
          <w:szCs w:val="22"/>
        </w:rPr>
        <w:t xml:space="preserve">Dėl </w:t>
      </w:r>
      <w:bookmarkEnd w:id="19"/>
      <w:r w:rsidRPr="00536624">
        <w:rPr>
          <w:rFonts w:eastAsia="Calibri" w:cstheme="minorHAnsi"/>
          <w:bCs/>
          <w:iCs/>
          <w:szCs w:val="22"/>
        </w:rPr>
        <w:t>paslaugų tiekėjo pareigos saugoti išankstinio mokėjimo mobiliųjų telefonų SIM kortelių naudotojų asmens duomenis ir pateikti juos valdžios institucijoms</w:t>
      </w:r>
      <w:bookmarkEnd w:id="20"/>
    </w:p>
    <w:p w14:paraId="231DF8D8" w14:textId="77777777" w:rsidR="00351D5B" w:rsidRPr="00536624" w:rsidRDefault="00351D5B" w:rsidP="00351D5B">
      <w:pPr>
        <w:spacing w:after="0" w:line="240" w:lineRule="auto"/>
        <w:ind w:right="-1" w:firstLine="567"/>
        <w:rPr>
          <w:rFonts w:cstheme="minorHAnsi"/>
        </w:rPr>
      </w:pPr>
    </w:p>
    <w:p w14:paraId="4FE04D03"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6AF74990" w14:textId="77777777" w:rsidR="00351D5B" w:rsidRPr="00536624" w:rsidRDefault="00351D5B" w:rsidP="00351D5B">
      <w:pPr>
        <w:spacing w:after="0" w:line="240" w:lineRule="auto"/>
        <w:ind w:right="-1" w:firstLine="567"/>
        <w:rPr>
          <w:rFonts w:cstheme="minorHAnsi"/>
        </w:rPr>
      </w:pPr>
    </w:p>
    <w:p w14:paraId="1782CA81" w14:textId="1269A065" w:rsidR="00351D5B" w:rsidRPr="00536624" w:rsidRDefault="00351D5B" w:rsidP="00FD28AF">
      <w:pPr>
        <w:spacing w:after="0" w:line="240" w:lineRule="auto"/>
        <w:ind w:right="-1" w:firstLine="567"/>
        <w:jc w:val="both"/>
        <w:rPr>
          <w:rFonts w:cstheme="minorHAnsi"/>
        </w:rPr>
      </w:pPr>
      <w:r w:rsidRPr="00536624">
        <w:rPr>
          <w:rFonts w:cstheme="minorHAnsi"/>
        </w:rPr>
        <w:t>2004 m. Telekomunikacijų įstatymas įpareigojo paslaugų tiekėjus rinkti įvairius asmens duomenis apie visus klientus ir saugoti šiuos duomenis kartu su priskirtu telefono numeriu net jei tai nėra būtina atsiskaitant ar dėl kitų sutartinių įsipareigojimų.</w:t>
      </w:r>
      <w:r w:rsidR="00FD28AF">
        <w:rPr>
          <w:rFonts w:cstheme="minorHAnsi"/>
        </w:rPr>
        <w:t xml:space="preserve"> </w:t>
      </w:r>
      <w:r w:rsidRPr="00536624">
        <w:rPr>
          <w:rFonts w:cstheme="minorHAnsi"/>
        </w:rPr>
        <w:t>Įvairios valdžios institucijos galėjo gauti ir perduoti duomenis be teismo įsakymo ar pranešimo susijusiems asmenims. Prašymai gauti duomenis tam tikrais atvejais galėtų būti automatizuoti ir būtų sudaryti sąrašai, pagrįsti tik pavadinimų ar skaičių panašumu (dalinių duomenų užklausomis). Tokie prašymai suteikti informaciją buvo leistini, kuomet tai yra būtina „siekiant patraukti baudžiamojon atsakomybėn už nusikaltimus ir administracinius nusižengimus, išvengti pavojaus ar atlikti žvalgybos užduotis“.</w:t>
      </w:r>
    </w:p>
    <w:p w14:paraId="0F9F8624"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Pareiškėjai įsigijo išankstinio mokėjimo SIM korteles, todėl turėjo užregistruoti savo vardus, adresus ir gimimo datas, kai tik aktyvavo savo SIM korteles. Ginčydami minėto Telekomunikacijų įstatymo nuostatas, pareiškėjai kreipėsi į Vokietijos Federalinį Konstitucinį Teismą teigdami, jog įstatymo nuostatos pažeidė jų teisę į susirašinėjimo, pašto ir telekomunikacijų privatumą, taip pat teisę į informacinį apsisprendimą, tačiau jų skundas buvo atmestas. </w:t>
      </w:r>
    </w:p>
    <w:p w14:paraId="75E9CD4B"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Remdamiesi teisės į privataus gyvenimo ir korespondencijos gerbimą, kaip numatyta Konvencijos 8 straipsnyje, ir saviraiškos laisvės, kaip numatyta Konvencijos 10 straipsnyje, pažeidimais, pareiškėjai kreipėsi į Teismą, kuris, siekdamas išnagrinėti tokią pačią teisinio reguliavimo laiko apimtį kaip nacionalinis teismas, analizavo ginčijamą nuostatą, galiojusią 2008 m. sausio 1 d. </w:t>
      </w:r>
    </w:p>
    <w:p w14:paraId="2575BB9F" w14:textId="77777777" w:rsidR="00351D5B" w:rsidRPr="00536624" w:rsidRDefault="00351D5B" w:rsidP="00351D5B">
      <w:pPr>
        <w:spacing w:after="0" w:line="240" w:lineRule="auto"/>
        <w:ind w:right="-1" w:firstLine="567"/>
        <w:jc w:val="both"/>
        <w:rPr>
          <w:rFonts w:cstheme="minorHAnsi"/>
        </w:rPr>
      </w:pPr>
    </w:p>
    <w:p w14:paraId="30AB8287"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EBB3E9F" w14:textId="77777777" w:rsidR="00351D5B" w:rsidRPr="00536624" w:rsidRDefault="00351D5B" w:rsidP="00351D5B">
      <w:pPr>
        <w:spacing w:after="0" w:line="240" w:lineRule="auto"/>
        <w:ind w:right="-1" w:firstLine="567"/>
        <w:jc w:val="both"/>
        <w:rPr>
          <w:rFonts w:cstheme="minorHAnsi"/>
        </w:rPr>
      </w:pPr>
    </w:p>
    <w:p w14:paraId="305E41D7" w14:textId="77777777" w:rsidR="00351D5B" w:rsidRPr="00536624" w:rsidRDefault="00351D5B" w:rsidP="00351D5B">
      <w:pPr>
        <w:spacing w:after="0" w:line="240" w:lineRule="auto"/>
        <w:ind w:right="-1" w:firstLine="567"/>
        <w:jc w:val="both"/>
        <w:rPr>
          <w:rFonts w:cstheme="minorHAnsi"/>
        </w:rPr>
      </w:pPr>
      <w:r w:rsidRPr="00536624">
        <w:rPr>
          <w:rFonts w:cstheme="minorHAnsi"/>
        </w:rPr>
        <w:t>Teismas pabrėžė, jog šioje byloje nėra prašoma nuspręsti, ar ir kokiu mastu gali būti laikomasi Konvencijos 10 straipsnio, užtikrinančio telekomunikacijų paslaugų vartotojams teisę į anonimiškumą ir kaip ši teisė turėtų būti subalansuota su kitais imperatyvais, todėl pareiškėjų skundus nagrinės teisės į privataus gyvenimo gerbimą, kaip numatyta Konvencijos 8 straipsnyje, apimtyje.</w:t>
      </w:r>
    </w:p>
    <w:p w14:paraId="2B10940C"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pažymėjo, kad skundžiamas ribojimas šiuo atveju buvo susijęs su duomenų saugojimu, o ne su vėlesniu jų naudojimu. Tačiau Vokietijos Federalinis Konstitucinis Teismas nustatė, kad, atsižvelgiant į duomenų tvarkymo ir sujungimo galimybes, nebuvo nė vieno asmens duomens, kuris pats savaime būtų nereikšmingas. </w:t>
      </w:r>
    </w:p>
    <w:p w14:paraId="360C5A04" w14:textId="6C970CA8" w:rsidR="00351D5B" w:rsidRPr="00536624" w:rsidRDefault="00351D5B" w:rsidP="00351D5B">
      <w:pPr>
        <w:spacing w:after="0" w:line="240" w:lineRule="auto"/>
        <w:ind w:right="-1" w:firstLine="567"/>
        <w:jc w:val="both"/>
        <w:rPr>
          <w:rFonts w:cstheme="minorHAnsi"/>
        </w:rPr>
      </w:pPr>
      <w:r w:rsidRPr="00536624">
        <w:rPr>
          <w:rFonts w:cstheme="minorHAnsi"/>
        </w:rPr>
        <w:t>Atitinkamų nuostatų numatymo ir pakankamo detalumo klausimas šiuo atveju buvo glaudžiai susijęs platesniais klausimais</w:t>
      </w:r>
      <w:r w:rsidR="00C12300">
        <w:rPr>
          <w:rFonts w:cstheme="minorHAnsi"/>
        </w:rPr>
        <w:t xml:space="preserve"> </w:t>
      </w:r>
      <w:r w:rsidRPr="00536624">
        <w:rPr>
          <w:rFonts w:cstheme="minorHAnsi"/>
        </w:rPr>
        <w:t>- ar ribojimas buvo proporcingas ir būtinas demokratinėje visuomenėje.</w:t>
      </w:r>
    </w:p>
    <w:p w14:paraId="12E61423"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Kadangi nebuvo jokio bendro Europos valstybių susitarimo dėl informacijos apie išankstinio mokėjimo SIM kortelių savininkus rinkimo ir saugojimo, valstybėms buvo suteikta tam tikra laisvė spręsti savo nuožiūra, kurios, Teismo nuomone, nebuvo per daug dėl tam tikrų priežasčių: </w:t>
      </w:r>
    </w:p>
    <w:p w14:paraId="1F9F3D89" w14:textId="77777777" w:rsidR="00351D5B" w:rsidRPr="00536624" w:rsidRDefault="00351D5B" w:rsidP="00351D5B">
      <w:pPr>
        <w:spacing w:after="0" w:line="240" w:lineRule="auto"/>
        <w:ind w:right="-1" w:firstLine="567"/>
        <w:jc w:val="both"/>
        <w:rPr>
          <w:rFonts w:cstheme="minorHAnsi"/>
        </w:rPr>
      </w:pPr>
      <w:r w:rsidRPr="00536624">
        <w:rPr>
          <w:rFonts w:cstheme="minorHAnsi"/>
        </w:rPr>
        <w:t>-</w:t>
      </w:r>
      <w:r w:rsidRPr="00536624">
        <w:rPr>
          <w:rFonts w:cstheme="minorHAnsi"/>
        </w:rPr>
        <w:tab/>
        <w:t>išankstinė mobiliųjų telefonų abonentų registracija labai supaprastino ir pagreitino teisėsaugos institucijų tyrimą; tokių būdu galima prisidėti prie veiksmingo teisėsaugos darbo bei užkirsti kelią neramumams ar nusikaltimams;</w:t>
      </w:r>
    </w:p>
    <w:p w14:paraId="3B087ACD" w14:textId="77777777" w:rsidR="00351D5B" w:rsidRPr="00536624" w:rsidRDefault="00351D5B" w:rsidP="00351D5B">
      <w:pPr>
        <w:spacing w:after="0" w:line="240" w:lineRule="auto"/>
        <w:ind w:right="-1" w:firstLine="567"/>
        <w:jc w:val="both"/>
        <w:rPr>
          <w:rFonts w:cstheme="minorHAnsi"/>
        </w:rPr>
      </w:pPr>
      <w:r w:rsidRPr="00536624">
        <w:rPr>
          <w:rFonts w:cstheme="minorHAnsi"/>
        </w:rPr>
        <w:t>-</w:t>
      </w:r>
      <w:r w:rsidRPr="00536624">
        <w:rPr>
          <w:rFonts w:cstheme="minorHAnsi"/>
        </w:rPr>
        <w:tab/>
        <w:t>tai, kad egzistuoja galimybės apeiti teisinius įsipareigojimus, negali būti priežastis abejoti jų bendru naudingumu ir veiksmingumu;</w:t>
      </w:r>
    </w:p>
    <w:p w14:paraId="4F5BCFA2" w14:textId="77777777" w:rsidR="00351D5B" w:rsidRPr="00536624" w:rsidRDefault="00351D5B" w:rsidP="00351D5B">
      <w:pPr>
        <w:spacing w:after="0" w:line="240" w:lineRule="auto"/>
        <w:ind w:right="-1" w:firstLine="567"/>
        <w:jc w:val="both"/>
        <w:rPr>
          <w:rFonts w:cstheme="minorHAnsi"/>
        </w:rPr>
      </w:pPr>
      <w:r w:rsidRPr="00536624">
        <w:rPr>
          <w:rFonts w:cstheme="minorHAnsi"/>
        </w:rPr>
        <w:t>-</w:t>
      </w:r>
      <w:r w:rsidRPr="00536624">
        <w:rPr>
          <w:rFonts w:cstheme="minorHAnsi"/>
        </w:rPr>
        <w:tab/>
        <w:t>nesant bendro susitarimo ir nacionaliniam saugumui esant pavojuje, tam tikras ribų vertinimas yra pateisinamas.</w:t>
      </w:r>
    </w:p>
    <w:p w14:paraId="1039466E"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 xml:space="preserve">Konstatuodamas, jog buvę teisių ribojimai šiuo atveju buvo proporcingi, Teismas atskirai pasisakė šiais apsektais. </w:t>
      </w:r>
    </w:p>
    <w:p w14:paraId="004FB5DE"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 xml:space="preserve">A. </w:t>
      </w:r>
      <w:r w:rsidRPr="00536624">
        <w:rPr>
          <w:rFonts w:asciiTheme="minorHAnsi" w:hAnsiTheme="minorHAnsi" w:cstheme="minorHAnsi"/>
          <w:i/>
        </w:rPr>
        <w:t>Kišimosi į privatų gyvenimą lygis</w:t>
      </w:r>
      <w:r w:rsidRPr="00536624">
        <w:rPr>
          <w:rFonts w:asciiTheme="minorHAnsi" w:hAnsiTheme="minorHAnsi" w:cstheme="minorHAnsi"/>
        </w:rPr>
        <w:t xml:space="preserve">. Skirtingai nei Teismo anksčiau nagrinėtose bylose, nagrinėjamu atveju duomenų saugyklose nubuvo jokios labai asmeniškos informacijos, nebuvo galima sudaryti asmenybės </w:t>
      </w:r>
      <w:r w:rsidRPr="00536624">
        <w:rPr>
          <w:rFonts w:asciiTheme="minorHAnsi" w:hAnsiTheme="minorHAnsi" w:cstheme="minorHAnsi"/>
        </w:rPr>
        <w:lastRenderedPageBreak/>
        <w:t xml:space="preserve">profilių ar sekti mobiliųjų telefonų abonentų judėjimo. Be to, nebuvo saugoma jokių duomenų apie atskirus komunikacijos įvykius. Nors trukmė nebuvo nereikšminga, kišimosi pobūdis buvo gana ribotas. </w:t>
      </w:r>
    </w:p>
    <w:p w14:paraId="0D00B934"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 xml:space="preserve">B. </w:t>
      </w:r>
      <w:r w:rsidRPr="00536624">
        <w:rPr>
          <w:rFonts w:asciiTheme="minorHAnsi" w:hAnsiTheme="minorHAnsi" w:cstheme="minorHAnsi"/>
          <w:i/>
        </w:rPr>
        <w:t>Apsaugos priemonės</w:t>
      </w:r>
      <w:r w:rsidRPr="00536624">
        <w:rPr>
          <w:rFonts w:asciiTheme="minorHAnsi" w:hAnsiTheme="minorHAnsi" w:cstheme="minorHAnsi"/>
        </w:rPr>
        <w:t>. Dėl duomenų registravimo ir saugojimo Teismas pažymėjo:</w:t>
      </w:r>
    </w:p>
    <w:p w14:paraId="6FCDB22B" w14:textId="5B5628B8" w:rsidR="00351D5B" w:rsidRPr="00536624" w:rsidRDefault="00C12300" w:rsidP="00351D5B">
      <w:pPr>
        <w:pStyle w:val="Sraopastraipa"/>
        <w:numPr>
          <w:ilvl w:val="0"/>
          <w:numId w:val="1"/>
        </w:numPr>
        <w:spacing w:after="0" w:line="240" w:lineRule="auto"/>
        <w:ind w:left="0" w:right="-1" w:firstLine="567"/>
        <w:jc w:val="both"/>
        <w:rPr>
          <w:rFonts w:asciiTheme="minorHAnsi" w:hAnsiTheme="minorHAnsi" w:cstheme="minorHAnsi"/>
        </w:rPr>
      </w:pPr>
      <w:r>
        <w:rPr>
          <w:rFonts w:asciiTheme="minorHAnsi" w:hAnsiTheme="minorHAnsi" w:cstheme="minorHAnsi"/>
        </w:rPr>
        <w:t>p</w:t>
      </w:r>
      <w:r w:rsidR="00351D5B" w:rsidRPr="00536624">
        <w:rPr>
          <w:rFonts w:asciiTheme="minorHAnsi" w:hAnsiTheme="minorHAnsi" w:cstheme="minorHAnsi"/>
        </w:rPr>
        <w:t>areiškėjai neargumentavo, jog duomenys buvo saugomi netinkamai;</w:t>
      </w:r>
    </w:p>
    <w:p w14:paraId="4138FF44" w14:textId="77777777" w:rsidR="00351D5B" w:rsidRPr="00536624" w:rsidRDefault="00351D5B" w:rsidP="00351D5B">
      <w:pPr>
        <w:pStyle w:val="Sraopastraipa"/>
        <w:numPr>
          <w:ilvl w:val="0"/>
          <w:numId w:val="1"/>
        </w:numPr>
        <w:spacing w:after="0" w:line="240" w:lineRule="auto"/>
        <w:ind w:left="0" w:right="-1" w:firstLine="567"/>
        <w:jc w:val="both"/>
        <w:rPr>
          <w:rFonts w:asciiTheme="minorHAnsi" w:hAnsiTheme="minorHAnsi" w:cstheme="minorHAnsi"/>
        </w:rPr>
      </w:pPr>
      <w:r w:rsidRPr="00536624">
        <w:rPr>
          <w:rFonts w:asciiTheme="minorHAnsi" w:hAnsiTheme="minorHAnsi" w:cstheme="minorHAnsi"/>
        </w:rPr>
        <w:t>saugojimo trukmė buvo tik kalendoriniai metai, einantys po metų, kuriais pasibaigė sutartiniai santykiai. Teismui tai neatrodė per daug, kadangi nusikalstamų veikų tyrimas gali užtrukti ir užsitęsti pasibaigus sutartiniams santykiams;</w:t>
      </w:r>
    </w:p>
    <w:p w14:paraId="42A5B4BC" w14:textId="77777777" w:rsidR="00351D5B" w:rsidRPr="00536624" w:rsidRDefault="00351D5B" w:rsidP="00351D5B">
      <w:pPr>
        <w:pStyle w:val="Sraopastraipa"/>
        <w:numPr>
          <w:ilvl w:val="0"/>
          <w:numId w:val="1"/>
        </w:numPr>
        <w:spacing w:after="0" w:line="240" w:lineRule="auto"/>
        <w:ind w:left="0" w:right="-1" w:firstLine="567"/>
        <w:jc w:val="both"/>
        <w:rPr>
          <w:rFonts w:asciiTheme="minorHAnsi" w:hAnsiTheme="minorHAnsi" w:cstheme="minorHAnsi"/>
        </w:rPr>
      </w:pPr>
      <w:r w:rsidRPr="00536624">
        <w:rPr>
          <w:rFonts w:asciiTheme="minorHAnsi" w:hAnsiTheme="minorHAnsi" w:cstheme="minorHAnsi"/>
        </w:rPr>
        <w:t>saugomi duomenys apsiribojo informacija, kurios reikia norint aiškiai identifikuoti atitinkamą abonentą.</w:t>
      </w:r>
    </w:p>
    <w:p w14:paraId="6A1372C0"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Teismas, atsižvelgęs į galimą prieigą prie saugomų duomenų ir jų naudojimą ateityje, sprendė, jog šiuo atveju apsaugos priemonių buvo pakankamai.</w:t>
      </w:r>
    </w:p>
    <w:p w14:paraId="07262385" w14:textId="77777777" w:rsidR="00351D5B" w:rsidRPr="00536624" w:rsidRDefault="00351D5B" w:rsidP="00351D5B">
      <w:pPr>
        <w:pStyle w:val="Sraopastraipa"/>
        <w:numPr>
          <w:ilvl w:val="0"/>
          <w:numId w:val="2"/>
        </w:numPr>
        <w:spacing w:after="0" w:line="240" w:lineRule="auto"/>
        <w:ind w:right="-1"/>
        <w:jc w:val="both"/>
        <w:rPr>
          <w:rFonts w:asciiTheme="minorHAnsi" w:hAnsiTheme="minorHAnsi" w:cstheme="minorHAnsi"/>
          <w:i/>
        </w:rPr>
      </w:pPr>
      <w:r w:rsidRPr="00536624">
        <w:rPr>
          <w:rFonts w:asciiTheme="minorHAnsi" w:hAnsiTheme="minorHAnsi" w:cstheme="minorHAnsi"/>
          <w:i/>
        </w:rPr>
        <w:t xml:space="preserve">Kompetencija teikti prašymus dėl informacijos </w:t>
      </w:r>
    </w:p>
    <w:p w14:paraId="5D2D4AC7"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Automatiniai prašymai labai supaprastino duomenų gavimą valdžios institucijoms. Centralizuota ir automatizuota procedūra iš esmės pašalino praktinius duomenų rinkimo sunkumus ir suteikė galimybę valdžios institucijoms bet kuriuo metu nedelsiant prieiti prie duomenų. Tačiau institucijos, kurios galėjo prašyti prieigos, buvo konkrečiai išvardytos. Nors sąrašas buvo pakankamai platus, visoms jame paminėtoms institucijoms rūpėjo teisėsauga ir nacionalinis saugumas.</w:t>
      </w:r>
    </w:p>
    <w:p w14:paraId="2D9AAD9A"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Valdžios institucijos, turinčios teisę prašyti duomenų pagal neautomatines užklausas, buvo nurodytos atsižvelgiant į atliekamas užduotis, tačiau nebuvo aiškiai išvardintos. Nors šis apibūdinimas pagal užduotis buvo ne toks konkretus ir labiau aiškinamasis, vis dėlto nuostatos formuluotė buvo pakankamai išsami, kad būtų aiškiai nustatyta, kurioms institucijoms yra suteikta teisė prašyti informacijos. Be to, kiek tai susiję su žvalgybos tarnybomis, Vokietijos Federalinis Konstitucinis Teismas padarė išvadą, kad, atsižvelgiant į tai, kad jų veikla yra ribota, plataus masto įgaliojimai reikalauti informacijos prevenciniu pagrindu yra pateisinami.</w:t>
      </w:r>
    </w:p>
    <w:p w14:paraId="2202C9B5" w14:textId="77777777" w:rsidR="00351D5B" w:rsidRPr="00536624" w:rsidRDefault="00351D5B" w:rsidP="00351D5B">
      <w:pPr>
        <w:pStyle w:val="Sraopastraipa"/>
        <w:numPr>
          <w:ilvl w:val="0"/>
          <w:numId w:val="2"/>
        </w:numPr>
        <w:spacing w:after="0" w:line="240" w:lineRule="auto"/>
        <w:ind w:right="-1"/>
        <w:jc w:val="both"/>
        <w:rPr>
          <w:rFonts w:asciiTheme="minorHAnsi" w:hAnsiTheme="minorHAnsi" w:cstheme="minorHAnsi"/>
          <w:i/>
        </w:rPr>
      </w:pPr>
      <w:r w:rsidRPr="00536624">
        <w:rPr>
          <w:rFonts w:asciiTheme="minorHAnsi" w:hAnsiTheme="minorHAnsi" w:cstheme="minorHAnsi"/>
          <w:i/>
        </w:rPr>
        <w:t>Prašymų pateikti duomenis tikslas</w:t>
      </w:r>
    </w:p>
    <w:p w14:paraId="6000F9A5" w14:textId="77777777" w:rsidR="00351D5B" w:rsidRPr="00536624" w:rsidRDefault="00351D5B" w:rsidP="00351D5B">
      <w:pPr>
        <w:pStyle w:val="Sraopastraipa"/>
        <w:spacing w:after="0" w:line="240" w:lineRule="auto"/>
        <w:ind w:left="0" w:right="-1" w:firstLine="567"/>
        <w:jc w:val="both"/>
        <w:rPr>
          <w:rFonts w:asciiTheme="minorHAnsi" w:hAnsiTheme="minorHAnsi" w:cstheme="minorHAnsi"/>
        </w:rPr>
      </w:pPr>
      <w:r w:rsidRPr="00536624">
        <w:rPr>
          <w:rFonts w:asciiTheme="minorHAnsi" w:hAnsiTheme="minorHAnsi" w:cstheme="minorHAnsi"/>
        </w:rPr>
        <w:t>Prašančiosioms institucijoms reikėjo turėti papildomą teisinį pagrindą duomenims gauti – tai Vokietijos Federacijos Konstitucinis Teismas palygino su dviejų durų sistema: pagal Telekomunikacijų įstatymą duomenis pateikti galėjo tik Federalinė tinklo agentūra ar atitinkamas paslaugų tiekėjas; tada papildoma nuostata reikalavo, kad duomenų prašytų tik tam tikros institucijos.</w:t>
      </w:r>
    </w:p>
    <w:p w14:paraId="2076276E" w14:textId="77777777" w:rsidR="00351D5B" w:rsidRPr="00536624" w:rsidRDefault="00351D5B" w:rsidP="00351D5B">
      <w:pPr>
        <w:pStyle w:val="Sraopastraipa"/>
        <w:numPr>
          <w:ilvl w:val="0"/>
          <w:numId w:val="2"/>
        </w:numPr>
        <w:spacing w:after="0" w:line="240" w:lineRule="auto"/>
        <w:ind w:right="-1"/>
        <w:jc w:val="both"/>
        <w:rPr>
          <w:rFonts w:asciiTheme="minorHAnsi" w:hAnsiTheme="minorHAnsi" w:cstheme="minorHAnsi"/>
          <w:i/>
        </w:rPr>
      </w:pPr>
      <w:r w:rsidRPr="00536624">
        <w:rPr>
          <w:rFonts w:asciiTheme="minorHAnsi" w:hAnsiTheme="minorHAnsi" w:cstheme="minorHAnsi"/>
          <w:i/>
        </w:rPr>
        <w:t>Prašymų dėl Informacijos apimtis</w:t>
      </w:r>
    </w:p>
    <w:p w14:paraId="6FD35D6E"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Buvo suteikiama tik būtina informacija (pavyzdžiui, vykdant baudžiamąjį persekiojimą, reikėjo bent pradinio įtarimo). Institucijos privalėjo nedelsdamos ištrinti duomenis, kuomet jie tapo joms nereikalingi. </w:t>
      </w:r>
    </w:p>
    <w:p w14:paraId="1AB44730" w14:textId="77777777" w:rsidR="00351D5B" w:rsidRPr="00536624" w:rsidRDefault="00351D5B" w:rsidP="00351D5B">
      <w:pPr>
        <w:spacing w:after="0" w:line="240" w:lineRule="auto"/>
        <w:ind w:right="-1" w:firstLine="567"/>
        <w:jc w:val="both"/>
        <w:rPr>
          <w:rFonts w:cstheme="minorHAnsi"/>
        </w:rPr>
      </w:pPr>
      <w:r w:rsidRPr="00536624">
        <w:rPr>
          <w:rFonts w:cstheme="minorHAnsi"/>
        </w:rPr>
        <w:t>Teismas atkreipė dėmesį, jog „būtinumo“ reikalavimas būdingas ne tik konkrečioms teisinėms nuostatoms, kurios analizuojamos šiame skunde, bet ir Vokietijos bei Europos duomenų apsaugos teisės aktams.</w:t>
      </w:r>
    </w:p>
    <w:p w14:paraId="111BCA97" w14:textId="22A433E7" w:rsidR="00351D5B" w:rsidRPr="00536624" w:rsidRDefault="00351D5B" w:rsidP="00351D5B">
      <w:pPr>
        <w:spacing w:after="0" w:line="240" w:lineRule="auto"/>
        <w:ind w:right="-1" w:firstLine="567"/>
        <w:jc w:val="both"/>
        <w:rPr>
          <w:rFonts w:cstheme="minorHAnsi"/>
        </w:rPr>
      </w:pPr>
      <w:r w:rsidRPr="00536624">
        <w:rPr>
          <w:rFonts w:cstheme="minorHAnsi"/>
        </w:rPr>
        <w:t>Nors neautomatinio proceso reikalavimai buvo žemesni nei automatinio, pareiga pateikti rašytinį prašymą galėjo paskatinti valdžios institucijas gauti informaciją tik tais atvejais, kada</w:t>
      </w:r>
      <w:r w:rsidR="00C12300">
        <w:rPr>
          <w:rFonts w:cstheme="minorHAnsi"/>
        </w:rPr>
        <w:t xml:space="preserve"> jos tikrai reikėjo. Praktikoje</w:t>
      </w:r>
      <w:r w:rsidRPr="00536624">
        <w:rPr>
          <w:rFonts w:cstheme="minorHAnsi"/>
        </w:rPr>
        <w:t xml:space="preserve"> neautomatiniu būdu informacijos buvo prašoma daug rečiau palyginti su automatinėmis užklausomis. </w:t>
      </w:r>
    </w:p>
    <w:p w14:paraId="7237C7A3" w14:textId="77777777" w:rsidR="00351D5B" w:rsidRPr="00536624" w:rsidRDefault="00351D5B" w:rsidP="00351D5B">
      <w:pPr>
        <w:pStyle w:val="Sraopastraipa"/>
        <w:numPr>
          <w:ilvl w:val="0"/>
          <w:numId w:val="2"/>
        </w:numPr>
        <w:spacing w:after="0" w:line="240" w:lineRule="auto"/>
        <w:ind w:right="-1"/>
        <w:jc w:val="both"/>
        <w:rPr>
          <w:rFonts w:asciiTheme="minorHAnsi" w:hAnsiTheme="minorHAnsi" w:cstheme="minorHAnsi"/>
          <w:i/>
        </w:rPr>
      </w:pPr>
      <w:r w:rsidRPr="00536624">
        <w:rPr>
          <w:rFonts w:asciiTheme="minorHAnsi" w:hAnsiTheme="minorHAnsi" w:cstheme="minorHAnsi"/>
          <w:i/>
        </w:rPr>
        <w:t>Informacijos užklausų peržiūra ir priežiūra</w:t>
      </w:r>
    </w:p>
    <w:p w14:paraId="60F2AEAD" w14:textId="7FD073B7" w:rsidR="00351D5B" w:rsidRPr="00536624" w:rsidRDefault="00351D5B" w:rsidP="00351D5B">
      <w:pPr>
        <w:spacing w:after="0" w:line="240" w:lineRule="auto"/>
        <w:ind w:right="-1" w:firstLine="567"/>
        <w:jc w:val="both"/>
        <w:rPr>
          <w:rFonts w:cstheme="minorHAnsi"/>
        </w:rPr>
      </w:pPr>
      <w:r w:rsidRPr="00536624">
        <w:rPr>
          <w:rFonts w:cstheme="minorHAnsi"/>
        </w:rPr>
        <w:t>Telekomunikacijų paslaugų tiekėjai neturėjo kompetencijos tikrinti bet kokios užklausos priimtinumo, kol informacijos nebuvo prašoma raštu, todėl atsakomybė už informacijos prašymo teisėtumą teko pačioms duomenų prašančioms agentūroms. Tačiau Federalinė tinklo agentūra galėjo ištirti duomenų perdavimo priimtinumą, kai matė tam priežastis. Kiekvienas duomenų gavimas ir atitinkamai su tuo susijusi informacija turėjo būti registruojami duomenų apsaugos priežiūros tikslais, o priežiūra buvo patikėta nepriklausomoms institucijoms, į kurias gali kreiptis kiekvienas nukentėjęs asmuo. Žalos atlyginimas dėl informacijos gavimo taip pat gali būti išieškomas pagal bendrąsias taisykles. Atsižvelgus į šias peržiūros galimybes, pranešimo apie duomenų gavimo tvarką nebuvimas, Teismo vertinimu, nelemia K</w:t>
      </w:r>
      <w:r w:rsidR="00C12300">
        <w:rPr>
          <w:rFonts w:cstheme="minorHAnsi"/>
        </w:rPr>
        <w:t>onvencijos pažeidimo. Taip pat T</w:t>
      </w:r>
      <w:r w:rsidRPr="00536624">
        <w:rPr>
          <w:rFonts w:cstheme="minorHAnsi"/>
        </w:rPr>
        <w:t>eismas pažymėjo, jog nors ir svarbus peržiūros ir priežiūros lygis, jis neturėtų būti lemiamas elementas vertinant ribotų duomenų rinkimo ir saugojimo proporcingumą.</w:t>
      </w:r>
    </w:p>
    <w:p w14:paraId="5924036E" w14:textId="77777777" w:rsidR="00351D5B" w:rsidRPr="00536624" w:rsidRDefault="00351D5B" w:rsidP="00351D5B">
      <w:pPr>
        <w:spacing w:after="0" w:line="240" w:lineRule="auto"/>
        <w:ind w:right="-1" w:firstLine="567"/>
        <w:jc w:val="both"/>
        <w:rPr>
          <w:rFonts w:cstheme="minorHAnsi"/>
        </w:rPr>
      </w:pPr>
    </w:p>
    <w:p w14:paraId="05139677" w14:textId="7DFC7AA5" w:rsidR="00C12300" w:rsidRDefault="00351D5B" w:rsidP="00351D5B">
      <w:pPr>
        <w:spacing w:after="0" w:line="240" w:lineRule="auto"/>
        <w:ind w:right="-1" w:firstLine="567"/>
        <w:jc w:val="both"/>
        <w:rPr>
          <w:rFonts w:cstheme="minorHAnsi"/>
        </w:rPr>
      </w:pPr>
      <w:r w:rsidRPr="00536624">
        <w:rPr>
          <w:rFonts w:cstheme="minorHAnsi"/>
        </w:rPr>
        <w:t>Išvada: Konvencijos 8 str</w:t>
      </w:r>
      <w:r w:rsidR="00C12300">
        <w:rPr>
          <w:rFonts w:cstheme="minorHAnsi"/>
        </w:rPr>
        <w:t>aipsnio pažeidimas nenustatytas (</w:t>
      </w:r>
      <w:r w:rsidR="00C12300">
        <w:rPr>
          <w:rFonts w:cstheme="minorHAnsi"/>
          <w:lang w:val="en-US"/>
        </w:rPr>
        <w:t xml:space="preserve">6 </w:t>
      </w:r>
      <w:proofErr w:type="spellStart"/>
      <w:r w:rsidR="00C12300">
        <w:rPr>
          <w:rFonts w:cstheme="minorHAnsi"/>
          <w:lang w:val="en-US"/>
        </w:rPr>
        <w:t>balsai</w:t>
      </w:r>
      <w:proofErr w:type="spellEnd"/>
      <w:r w:rsidR="00C12300">
        <w:rPr>
          <w:rFonts w:cstheme="minorHAnsi"/>
          <w:lang w:val="en-US"/>
        </w:rPr>
        <w:t xml:space="preserve"> </w:t>
      </w:r>
      <w:proofErr w:type="spellStart"/>
      <w:r w:rsidR="00C12300">
        <w:rPr>
          <w:rFonts w:cstheme="minorHAnsi"/>
          <w:lang w:val="en-US"/>
        </w:rPr>
        <w:t>prieš</w:t>
      </w:r>
      <w:proofErr w:type="spellEnd"/>
      <w:r w:rsidR="00C12300">
        <w:rPr>
          <w:rFonts w:cstheme="minorHAnsi"/>
          <w:lang w:val="en-US"/>
        </w:rPr>
        <w:t xml:space="preserve"> 1</w:t>
      </w:r>
      <w:r w:rsidR="00C12300">
        <w:rPr>
          <w:rFonts w:cstheme="minorHAnsi"/>
        </w:rPr>
        <w:t>)</w:t>
      </w:r>
    </w:p>
    <w:p w14:paraId="55A471F8" w14:textId="1555B7DB" w:rsidR="00351D5B" w:rsidRPr="00536624" w:rsidRDefault="00C12300" w:rsidP="00351D5B">
      <w:pPr>
        <w:spacing w:after="0" w:line="240" w:lineRule="auto"/>
        <w:ind w:right="-1" w:firstLine="567"/>
        <w:jc w:val="both"/>
        <w:rPr>
          <w:rFonts w:cstheme="minorHAnsi"/>
        </w:rPr>
      </w:pPr>
      <w:r>
        <w:rPr>
          <w:rFonts w:cstheme="minorHAnsi"/>
        </w:rPr>
        <w:t>(pateikta atskiroji nuomonė)</w:t>
      </w:r>
      <w:r w:rsidR="00351D5B" w:rsidRPr="00536624">
        <w:rPr>
          <w:rFonts w:cstheme="minorHAnsi"/>
        </w:rPr>
        <w:t xml:space="preserve"> </w:t>
      </w:r>
    </w:p>
    <w:p w14:paraId="20B51D39" w14:textId="77777777" w:rsidR="00351D5B" w:rsidRPr="00536624" w:rsidRDefault="00267716" w:rsidP="00351D5B">
      <w:pPr>
        <w:spacing w:after="0" w:line="240" w:lineRule="auto"/>
        <w:ind w:right="-1" w:firstLine="567"/>
        <w:jc w:val="both"/>
        <w:rPr>
          <w:rFonts w:cstheme="minorHAnsi"/>
        </w:rPr>
      </w:pPr>
      <w:hyperlink r:id="rId17" w:history="1">
        <w:r w:rsidR="00351D5B" w:rsidRPr="00536624">
          <w:rPr>
            <w:rStyle w:val="Hipersaitas"/>
            <w:rFonts w:cstheme="minorHAnsi"/>
          </w:rPr>
          <w:t>Prieiga internete</w:t>
        </w:r>
      </w:hyperlink>
    </w:p>
    <w:p w14:paraId="5F2EDD49"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p>
    <w:p w14:paraId="23EC2199"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vasario 11 d. sprendimas byloje</w:t>
      </w:r>
    </w:p>
    <w:p w14:paraId="34D1A986" w14:textId="77777777" w:rsidR="00351D5B" w:rsidRPr="00536624" w:rsidRDefault="00351D5B" w:rsidP="003460C1">
      <w:pPr>
        <w:pStyle w:val="Antrat2"/>
        <w:jc w:val="center"/>
        <w:rPr>
          <w:i/>
        </w:rPr>
      </w:pPr>
      <w:bookmarkStart w:id="21" w:name="_Toc52184435"/>
      <w:r w:rsidRPr="00536624">
        <w:rPr>
          <w:i/>
        </w:rPr>
        <w:t>Platini prieš Šveicariją</w:t>
      </w:r>
      <w:bookmarkEnd w:id="21"/>
    </w:p>
    <w:p w14:paraId="6A614355"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526/18, svarbos lygis – 3)</w:t>
      </w:r>
    </w:p>
    <w:p w14:paraId="306102ED"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14B9F8EB" w14:textId="77777777" w:rsidR="00351D5B" w:rsidRPr="00536624" w:rsidRDefault="00351D5B" w:rsidP="005D6E08">
      <w:pPr>
        <w:pStyle w:val="Antrat3"/>
        <w:ind w:firstLine="567"/>
        <w:jc w:val="both"/>
      </w:pPr>
      <w:bookmarkStart w:id="22" w:name="_Toc52184436"/>
      <w:r w:rsidRPr="00536624">
        <w:t>Dėl arbitražo sprendimo, sprendžiant dėl nušalinimo profesionalaus sporto kontekste, užtikrinant pakankamus institucinius ir procedūrinius saugiklius</w:t>
      </w:r>
      <w:bookmarkEnd w:id="22"/>
    </w:p>
    <w:p w14:paraId="3D8F1967"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35CE4994"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45E97F58"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9C71EDF" w14:textId="10A297BB"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Pareiškėjas yra buvęs p</w:t>
      </w:r>
      <w:r w:rsidR="00423B69">
        <w:rPr>
          <w:rFonts w:eastAsia="Times New Roman" w:cstheme="minorHAnsi"/>
          <w:color w:val="000000"/>
        </w:rPr>
        <w:t>rofesionalus futbolo žaidėjas,</w:t>
      </w:r>
      <w:r w:rsidRPr="00536624">
        <w:rPr>
          <w:rFonts w:eastAsia="Times New Roman" w:cstheme="minorHAnsi"/>
          <w:color w:val="000000"/>
        </w:rPr>
        <w:t xml:space="preserve"> Prancūzijos nacionalinės futbolo rinktinės kapitonas ir treneris. Pareiškėjas dirbo X. Y., tuometinio Tarptautinės futbolo federacijos (toliau – FIFA) prezidento, patarėju, vėliau išrinktas Europos futbolo federacijų asociacijos (toliau – UEFA) prezidentu. 2011 m. X. Y. pasirašė pareiškėjo naudai sąskaitą faktūrą 2 </w:t>
      </w:r>
      <w:proofErr w:type="spellStart"/>
      <w:r w:rsidRPr="00536624">
        <w:rPr>
          <w:rFonts w:eastAsia="Times New Roman" w:cstheme="minorHAnsi"/>
          <w:color w:val="000000"/>
        </w:rPr>
        <w:t>mln</w:t>
      </w:r>
      <w:proofErr w:type="spellEnd"/>
      <w:r w:rsidRPr="00536624">
        <w:rPr>
          <w:rFonts w:eastAsia="Times New Roman" w:cstheme="minorHAnsi"/>
          <w:color w:val="000000"/>
        </w:rPr>
        <w:t xml:space="preserve"> Šveicarijos frankų (CHF) sumai, dėl kurios kaip priedo prie atlyginimo buvo sutarta žodžiu. Mokėjimas buvo patvirtintas FIFA finansų valdybos. 2015 m. pradėjus ikiteisminį tyrimą prieš X. Y. dėl pareiškėjui 2011 metais pervestos sumos, prieš pareiškėją pradėtos drausminės procedūros dėl FIFA etikos kodekso pažeidimo. Konstatavusi pažeidimus, FIFA uždraudė pareiškėjui 6 metus užsiimti veikla, susijusia su futbolu nacionaliniu ir tarptautiniu lygiu, bei skyrė jam 80 000 CHF baudą. Tarptautinis sporto arbitražo teismas 2016 m. sprendimu sumažino pareiškėjui skirto draudimo trukmę iki 4 metų, o skirtą baudą – iki 60 000 CHF. Šveicarijos federalinis tribunolas 2017 m. sprendimu minėtą teismo sprendimą paliko nepakeistą, atmesdamas pareiškėjo pateiktą FIFA etikos kodekso nuostatų aiškinimą bei teiginius, kad sankcija pareiškėjui skirta neatsižvelgiant į jo amžių.</w:t>
      </w:r>
    </w:p>
    <w:p w14:paraId="56F82AED" w14:textId="48A38CFE"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Remdamasis, be kita ko, </w:t>
      </w:r>
      <w:r w:rsidR="006C234E">
        <w:rPr>
          <w:rFonts w:eastAsia="Times New Roman" w:cstheme="minorHAnsi"/>
          <w:color w:val="000000"/>
        </w:rPr>
        <w:t xml:space="preserve">ir </w:t>
      </w:r>
      <w:r w:rsidRPr="00536624">
        <w:rPr>
          <w:rFonts w:eastAsia="Times New Roman" w:cstheme="minorHAnsi"/>
          <w:color w:val="000000"/>
        </w:rPr>
        <w:t>Konvencijos 8 straipsniu, pareiškėjas kreipėsi į Teismą teigdamas, jog jam paskirta sankcija pažeidžia jo laisvę verstis profesine veikla.</w:t>
      </w:r>
    </w:p>
    <w:p w14:paraId="09939EBE"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F3D8DED"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777AB20F"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90DD81E"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Nagrinėjamu bylos aspektu Teismas pirmiausia pabrėžė, kad pareiškėjas, kreipdamasis į Federalinį tribunolą, tiesiogiai neminėjo Konvencijos 8 straipsnio, tačiau jis rėmėsi savo asmeninių teisių ir ekonominių laisvių pažeidimu, todėl laikytina, kad pareiškėjas iš esmės išnaudojo visas valstybės vidaus teisinės gynybos priemones. </w:t>
      </w:r>
    </w:p>
    <w:p w14:paraId="6328DBA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remdamasis savo ankstesne praktika byloje </w:t>
      </w:r>
      <w:proofErr w:type="spellStart"/>
      <w:r w:rsidRPr="00536624">
        <w:rPr>
          <w:rFonts w:eastAsia="Times New Roman" w:cstheme="minorHAnsi"/>
          <w:i/>
          <w:color w:val="000000"/>
        </w:rPr>
        <w:t>Denisov</w:t>
      </w:r>
      <w:proofErr w:type="spellEnd"/>
      <w:r w:rsidRPr="00536624">
        <w:rPr>
          <w:rFonts w:eastAsia="Times New Roman" w:cstheme="minorHAnsi"/>
          <w:i/>
          <w:color w:val="000000"/>
        </w:rPr>
        <w:t xml:space="preserve"> prieš Ukrainą</w:t>
      </w:r>
      <w:r w:rsidRPr="00536624">
        <w:rPr>
          <w:rFonts w:eastAsia="Times New Roman" w:cstheme="minorHAnsi"/>
          <w:color w:val="000000"/>
        </w:rPr>
        <w:t xml:space="preserve"> (pareiškimo Nr. 76639/11), priminė, jog privataus gyvenimo sąvoka yra plati bei pateikė 8 straipsnio taikymo profesiniuose ginčuose principų apibendrinimą. Pareiškėjas tvirtino, jog jis visą savo gyvenimą ir karjerą pašventė profesionaliam futbolui, todėl jam skirta sankcija yra itin griežta ir paralyžiuojanti, ypač atsižvelgiant į jo amžių (61 metai). Teismas pažymėjo, kad pareiškėjui skirtos sankcijos turi įtaką jo profesiniam gyvenimui, bet ne privačiam gyvenimui. Kita vertus, neigiamos pasekmės pareiškėjo privačiam gyvenimui yra nulemtos veiksmų, kuriais pareiškėjas yra kaltinamas. Šiuo atveju pagrindinis dėmesys kreiptinas į pareiškėjui kylančias pasekmes. Konvencijos 8 straipsnio pažeidimas galėtų būti konstatuojamas pareiškėjui įrodžius, jog šios pasekmės yra labai rimtos ir turi itin reikšmingą įtaką jo gyvenimui. Šiame kontekste teismas atsižvelgė į tai, kad pareiškėjo pajamos visą gyvenimą buvo susijusios su futbolu, kad FIFA turi dominuojančią globalią padėtį šiame sporte, bei kad pareiškėjas yra senyvo amžiaus. Be to, atsižvelgiant į plačią pritaikytos sankcijos apimtį, tai gali neigiamai paveikti pareiškėjo galimybes formuoti ir plėtoti socialinius ryšius (pareiškėjas viešojoje erdvėje paprastai buvo siejamas su futbolu), taip pat lemti jo reputacijos pablogėjimą, tam tikrą </w:t>
      </w:r>
      <w:proofErr w:type="spellStart"/>
      <w:r w:rsidRPr="00536624">
        <w:rPr>
          <w:rFonts w:eastAsia="Times New Roman" w:cstheme="minorHAnsi"/>
          <w:color w:val="000000"/>
        </w:rPr>
        <w:t>stigmatizaciją</w:t>
      </w:r>
      <w:proofErr w:type="spellEnd"/>
      <w:r w:rsidRPr="00536624">
        <w:rPr>
          <w:rFonts w:eastAsia="Times New Roman" w:cstheme="minorHAnsi"/>
          <w:color w:val="000000"/>
        </w:rPr>
        <w:t>. Taigi, egzistuoja pagrindas šioje situacijoje taikyti Konvencijos 8 straipsnį.</w:t>
      </w:r>
    </w:p>
    <w:p w14:paraId="31806174" w14:textId="48036DE4"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atkreipė dėmesį į tai, kad sankciją pareiškėjui skyrusi organizacija – FIFA – veiklą vykdo vadovaudamasi Šveicarijos privatine teise. Atsižvelgdamas į tai, Teismas vertino, ar pastaroji valstybė turėjo pozityvias pareigas pagal Konvencijos 8 straipsnį, t. y. pareigą apginti pareiškėjo teisę į privatų šeimos gyvenimą prieš FIFA skirtas poveikio priemones. Šiuo atveju būtina nustatyti, ar pareiškėjas turėjo pakankamas institucines ir procedūrines garantijas, konkrečiai – teismų sistemą, kurioje galėjo išdėstyti savo pretenzijas ir kuri priėmė tinkamai pagrįstus sprendimus. Akcentuota, kad pareiškėjas laisvai pasirinko savo profesiją, įskaitant veiklą futbolo asociacijose, kurios yra privatūs subjektai ir, atitinkamai, Konvencija jiems nėra taikoma tiesiogiai. Tokia karjera neabejotinai siūlo daug privilegijų ir privalumų, bet kartu apriboja tam </w:t>
      </w:r>
      <w:r w:rsidRPr="00536624">
        <w:rPr>
          <w:rFonts w:eastAsia="Times New Roman" w:cstheme="minorHAnsi"/>
          <w:color w:val="000000"/>
        </w:rPr>
        <w:lastRenderedPageBreak/>
        <w:t>tikras teises. Tokie sutartiniai apribojimai yra priimtini pagal Konvenciją, jeigu dėl jų sutarta laisva valia. Nagrinėjamoje byloje nėra ginčo, kad pareiškėjas nebuvo verčiamas sutikti su privalomo arbitražo sąlygomis, atsisakant gynimosi priemonių nacionaliniuose teismuose, jis tiesiogiai sutiko su Tarptautinio sporto arbitražo jurisdikcija. Tarptautinis sporto arbitražas išsamiai atsakė į pareišk</w:t>
      </w:r>
      <w:r w:rsidR="006C234E">
        <w:rPr>
          <w:rFonts w:eastAsia="Times New Roman" w:cstheme="minorHAnsi"/>
          <w:color w:val="000000"/>
        </w:rPr>
        <w:t>ėjo nusiskundimus. Teismas sutiko</w:t>
      </w:r>
      <w:r w:rsidRPr="00536624">
        <w:rPr>
          <w:rFonts w:eastAsia="Times New Roman" w:cstheme="minorHAnsi"/>
          <w:color w:val="000000"/>
        </w:rPr>
        <w:t xml:space="preserve"> su Federalinio tribunolo vertinimu, kad Tarptautinis sporto arbitražas visapusiškai išnagrinėjo pareiškėjo pretenzijas, grindžiamas Konvencijos nuostatomis, pateikė pakankamus motyvus ir tinkamai pagrindė interesų balansą, atsižvelgdamas į sporto arbitražo procedūros specifiką. Pareiškėjas, nesutikdamas su Tarptautinio sporto arbitražo sprendimu, turėjo galimybę šį sprendimą apskųsti ir šia teise pasinaudojo. Federalinis tribunolas, atmesdamas pareiškėjo skundą, įtikinamai pagrindė savo sutikimą su arbitražo sprendimu, be kita ko, konstatavo, jog arbitrai nepraleido jokių svarbių aplinkybių.</w:t>
      </w:r>
    </w:p>
    <w:p w14:paraId="25275E4F"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Atsižvelgiant į tai, Teismas padarė išvadą, kad pareiškėjui buvo užtikrintos pakankamos institucinės ir procedūrinės garantijos (tiek privatus teismas (Tarptautinis sporto arbitražas), tiek valstybinis teismas (Federalinis tribunolas)). Teismas savo jurisdikcijos ribose taip pat pripažino, kad minėtų teismų sprendimuose nematyti savivalės ar akivaizdaus </w:t>
      </w:r>
      <w:proofErr w:type="spellStart"/>
      <w:r w:rsidRPr="00536624">
        <w:rPr>
          <w:rFonts w:eastAsia="Times New Roman" w:cstheme="minorHAnsi"/>
          <w:color w:val="000000"/>
        </w:rPr>
        <w:t>neprotingumo</w:t>
      </w:r>
      <w:proofErr w:type="spellEnd"/>
      <w:r w:rsidRPr="00536624">
        <w:rPr>
          <w:rFonts w:eastAsia="Times New Roman" w:cstheme="minorHAnsi"/>
          <w:color w:val="000000"/>
        </w:rPr>
        <w:t>. Minėti teismai siekė ne tik teisėto tikslo – nubausti už padarytus pažeidimus aukšto rango FIFA tarnautoją, bet ir bendro intereso – atkurti futbolo ir FIFA reputaciją. Šveicarija tinkamai įvykdė savo įsipareigojimus, įtvirtintus Konvencijos 8 straipsnyje, todėl pareiškėjo pareiškimas laikytinas akivaizdžiai nepagrįstu (Konvencijos 35 str. 3 d. a) p. ir 4 d.).</w:t>
      </w:r>
    </w:p>
    <w:p w14:paraId="7259B4E5" w14:textId="77777777" w:rsidR="00351D5B" w:rsidRPr="00536624" w:rsidRDefault="00351D5B" w:rsidP="00351D5B">
      <w:pPr>
        <w:spacing w:after="0" w:line="240" w:lineRule="auto"/>
        <w:ind w:right="-1" w:firstLine="567"/>
        <w:jc w:val="both"/>
        <w:rPr>
          <w:rFonts w:cstheme="minorHAnsi"/>
        </w:rPr>
      </w:pPr>
    </w:p>
    <w:p w14:paraId="767D97DE" w14:textId="77777777" w:rsidR="00351D5B" w:rsidRPr="00536624" w:rsidRDefault="00351D5B" w:rsidP="00351D5B">
      <w:pPr>
        <w:spacing w:after="0" w:line="240" w:lineRule="auto"/>
        <w:ind w:right="-1" w:firstLine="567"/>
        <w:jc w:val="both"/>
        <w:rPr>
          <w:rFonts w:cstheme="minorHAnsi"/>
          <w:color w:val="000000"/>
        </w:rPr>
      </w:pPr>
      <w:r w:rsidRPr="00536624">
        <w:rPr>
          <w:rFonts w:cstheme="minorHAnsi"/>
        </w:rPr>
        <w:t>Išvada: skundas nepriimtinas</w:t>
      </w:r>
      <w:r w:rsidRPr="00536624">
        <w:rPr>
          <w:rFonts w:eastAsia="Times New Roman" w:cstheme="minorHAnsi"/>
          <w:color w:val="000000"/>
        </w:rPr>
        <w:t>.</w:t>
      </w:r>
    </w:p>
    <w:p w14:paraId="4B382864" w14:textId="77777777" w:rsidR="00351D5B" w:rsidRPr="00536624" w:rsidRDefault="00267716" w:rsidP="00351D5B">
      <w:pPr>
        <w:spacing w:after="0" w:line="240" w:lineRule="auto"/>
        <w:ind w:right="-1" w:firstLine="567"/>
        <w:jc w:val="both"/>
        <w:rPr>
          <w:rFonts w:cstheme="minorHAnsi"/>
        </w:rPr>
      </w:pPr>
      <w:hyperlink r:id="rId18" w:history="1">
        <w:r w:rsidR="00351D5B" w:rsidRPr="00536624">
          <w:rPr>
            <w:rFonts w:cstheme="minorHAnsi"/>
            <w:color w:val="0000FF"/>
            <w:u w:val="single"/>
          </w:rPr>
          <w:t>Prieiga internete</w:t>
        </w:r>
      </w:hyperlink>
    </w:p>
    <w:p w14:paraId="44727133" w14:textId="77777777" w:rsidR="00351D5B" w:rsidRPr="00536624" w:rsidRDefault="00351D5B" w:rsidP="00351D5B">
      <w:pPr>
        <w:spacing w:after="0" w:line="240" w:lineRule="auto"/>
        <w:ind w:right="-1" w:firstLine="567"/>
        <w:jc w:val="both"/>
        <w:rPr>
          <w:rFonts w:cstheme="minorHAnsi"/>
        </w:rPr>
      </w:pPr>
    </w:p>
    <w:p w14:paraId="756D8871" w14:textId="77777777" w:rsidR="00351D5B" w:rsidRPr="00263E9F" w:rsidRDefault="00351D5B" w:rsidP="00351D5B">
      <w:pPr>
        <w:shd w:val="clear" w:color="auto" w:fill="FFFFFF"/>
        <w:spacing w:after="0" w:line="240" w:lineRule="auto"/>
        <w:ind w:right="-1"/>
        <w:jc w:val="center"/>
        <w:rPr>
          <w:rFonts w:eastAsia="Times New Roman" w:cstheme="minorHAnsi"/>
          <w:b/>
        </w:rPr>
      </w:pPr>
      <w:r w:rsidRPr="00263E9F">
        <w:rPr>
          <w:rFonts w:eastAsia="Times New Roman" w:cstheme="minorHAnsi"/>
          <w:b/>
        </w:rPr>
        <w:t>Europos Žmogaus Teisių Teismo 2020 m. vasario 13 d. sprendimas byloje</w:t>
      </w:r>
    </w:p>
    <w:p w14:paraId="06184BDE" w14:textId="77777777" w:rsidR="00351D5B" w:rsidRPr="00263E9F" w:rsidRDefault="00351D5B" w:rsidP="00351D5B">
      <w:pPr>
        <w:pStyle w:val="Antrat2"/>
        <w:ind w:right="-1" w:firstLine="0"/>
        <w:jc w:val="center"/>
        <w:rPr>
          <w:rFonts w:eastAsia="Calibri" w:cstheme="minorHAnsi"/>
          <w:i/>
        </w:rPr>
      </w:pPr>
      <w:bookmarkStart w:id="23" w:name="_Toc52184437"/>
      <w:proofErr w:type="spellStart"/>
      <w:r w:rsidRPr="00263E9F">
        <w:rPr>
          <w:rFonts w:eastAsia="Calibri" w:cstheme="minorHAnsi"/>
          <w:i/>
        </w:rPr>
        <w:t>Gaughran</w:t>
      </w:r>
      <w:proofErr w:type="spellEnd"/>
      <w:r w:rsidRPr="00263E9F">
        <w:rPr>
          <w:rFonts w:eastAsia="Calibri" w:cstheme="minorHAnsi"/>
          <w:i/>
        </w:rPr>
        <w:t xml:space="preserve"> prieš Jungtinę Karalystę</w:t>
      </w:r>
      <w:bookmarkEnd w:id="23"/>
    </w:p>
    <w:p w14:paraId="6D233E04" w14:textId="77777777" w:rsidR="00351D5B" w:rsidRPr="00263E9F" w:rsidRDefault="00351D5B" w:rsidP="00351D5B">
      <w:pPr>
        <w:shd w:val="clear" w:color="auto" w:fill="FFFFFF"/>
        <w:spacing w:after="0" w:line="240" w:lineRule="auto"/>
        <w:ind w:right="-1"/>
        <w:jc w:val="center"/>
        <w:rPr>
          <w:rFonts w:eastAsia="Times New Roman" w:cstheme="minorHAnsi"/>
          <w:b/>
        </w:rPr>
      </w:pPr>
      <w:r w:rsidRPr="00263E9F">
        <w:rPr>
          <w:rFonts w:eastAsia="Times New Roman" w:cstheme="minorHAnsi"/>
          <w:b/>
        </w:rPr>
        <w:t>(pareiškimo Nr. 45245/15</w:t>
      </w:r>
      <w:r w:rsidRPr="00263E9F">
        <w:rPr>
          <w:rFonts w:cstheme="minorHAnsi"/>
          <w:b/>
        </w:rPr>
        <w:t>, svarbos lygis – 2</w:t>
      </w:r>
      <w:r w:rsidRPr="00263E9F">
        <w:rPr>
          <w:rFonts w:eastAsia="Times New Roman" w:cstheme="minorHAnsi"/>
          <w:b/>
        </w:rPr>
        <w:t>)</w:t>
      </w:r>
    </w:p>
    <w:p w14:paraId="7C0F0C65" w14:textId="77777777" w:rsidR="00351D5B" w:rsidRPr="00263E9F" w:rsidRDefault="00351D5B" w:rsidP="00351D5B">
      <w:pPr>
        <w:shd w:val="clear" w:color="auto" w:fill="FFFFFF"/>
        <w:spacing w:after="0" w:line="240" w:lineRule="auto"/>
        <w:ind w:right="-1" w:firstLine="567"/>
        <w:jc w:val="center"/>
        <w:rPr>
          <w:rFonts w:eastAsia="Times New Roman" w:cstheme="minorHAnsi"/>
          <w:b/>
          <w:bCs/>
          <w:color w:val="000000"/>
        </w:rPr>
      </w:pPr>
    </w:p>
    <w:p w14:paraId="685B8316"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24" w:name="_Toc52184438"/>
      <w:r w:rsidRPr="00263E9F">
        <w:rPr>
          <w:rFonts w:eastAsia="Calibri" w:cstheme="minorHAnsi"/>
          <w:bCs/>
          <w:iCs/>
          <w:szCs w:val="22"/>
        </w:rPr>
        <w:t>Dėl proporcingumo principo pažeidimo neterminuotai saugant asmens, nuteisto už nesunkią nusikalstamą veiką, biometrinius duomenis nesant realios galimybės peržiūrėti šių duomenų saugojimo reikalingumą</w:t>
      </w:r>
      <w:bookmarkEnd w:id="24"/>
    </w:p>
    <w:p w14:paraId="19C0E1B3" w14:textId="77777777" w:rsidR="00351D5B" w:rsidRPr="00536624" w:rsidRDefault="00351D5B" w:rsidP="00351D5B">
      <w:pPr>
        <w:spacing w:after="0" w:line="240" w:lineRule="auto"/>
        <w:ind w:right="-1" w:firstLine="567"/>
        <w:rPr>
          <w:rFonts w:cstheme="minorHAnsi"/>
        </w:rPr>
      </w:pPr>
    </w:p>
    <w:p w14:paraId="179F496D"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54D09351" w14:textId="77777777" w:rsidR="00351D5B" w:rsidRPr="00536624" w:rsidRDefault="00351D5B" w:rsidP="00351D5B">
      <w:pPr>
        <w:spacing w:after="0" w:line="240" w:lineRule="auto"/>
        <w:ind w:right="-1" w:firstLine="567"/>
        <w:rPr>
          <w:rFonts w:cstheme="minorHAnsi"/>
        </w:rPr>
      </w:pPr>
    </w:p>
    <w:p w14:paraId="60B07785" w14:textId="54BE9203" w:rsidR="00351D5B" w:rsidRPr="00536624" w:rsidRDefault="00351D5B" w:rsidP="00351D5B">
      <w:pPr>
        <w:spacing w:after="0" w:line="240" w:lineRule="auto"/>
        <w:ind w:right="-1" w:firstLine="567"/>
        <w:jc w:val="both"/>
        <w:rPr>
          <w:rFonts w:cstheme="minorHAnsi"/>
        </w:rPr>
      </w:pPr>
      <w:r w:rsidRPr="00536624">
        <w:rPr>
          <w:rFonts w:cstheme="minorHAnsi"/>
        </w:rPr>
        <w:t>Pareiškėjas buvo sulaikytas Šiaurės Airijoje už vairavimą neblaiviam. Tą pačią dieną iš asmens buvo paimti šie duomenys: pirštų antspaudai, nuotrauka bei DNR mėginys. 2008 m. lapkričio 5 d. pareiškėjas nuteistas už vairavimą neblaiviam. Po kelių mėnesių pareiškėjo atstovas kreipėsi į Šiaurės Airijos policijos tarnybą prašydamas sunaikinti surinktus duomenis arba grąžinti juos pareiškėjui, tačiau toks prašymas netenkintas.</w:t>
      </w:r>
      <w:r w:rsidR="00263E9F">
        <w:rPr>
          <w:rFonts w:cstheme="minorHAnsi"/>
        </w:rPr>
        <w:t xml:space="preserve"> Pareiškėjas nesėkmingai bandė tai ginčyti nacionaliniuose teismuose.</w:t>
      </w:r>
    </w:p>
    <w:p w14:paraId="6CE61523" w14:textId="77777777" w:rsidR="00351D5B" w:rsidRPr="00536624" w:rsidRDefault="00351D5B" w:rsidP="00351D5B">
      <w:pPr>
        <w:spacing w:after="0" w:line="240" w:lineRule="auto"/>
        <w:ind w:right="-1" w:firstLine="567"/>
        <w:jc w:val="both"/>
        <w:rPr>
          <w:rFonts w:cstheme="minorHAnsi"/>
        </w:rPr>
      </w:pPr>
      <w:r w:rsidRPr="00536624">
        <w:rPr>
          <w:rFonts w:cstheme="minorHAnsi"/>
        </w:rPr>
        <w:t>Pareiškėjas kreipėsi į Teismą teigdamas, jog neterminuotas jo DNR profilio, pirštų antspaudų ir nuotraukos saugojimas pagal neapibrėžtą tokių duomenų saugojimo politiką yra neproporcingas ir nepagrįstas kišimasis į privataus ir šeimos gyvenimo gerbimą, kaip numatyta Konvencijos 8 straipsnyje.</w:t>
      </w:r>
    </w:p>
    <w:p w14:paraId="51C5C82A" w14:textId="77777777" w:rsidR="00351D5B" w:rsidRPr="00536624" w:rsidRDefault="00351D5B" w:rsidP="00351D5B">
      <w:pPr>
        <w:spacing w:after="0" w:line="240" w:lineRule="auto"/>
        <w:ind w:right="-1" w:firstLine="567"/>
        <w:jc w:val="both"/>
        <w:rPr>
          <w:rFonts w:cstheme="minorHAnsi"/>
        </w:rPr>
      </w:pPr>
    </w:p>
    <w:p w14:paraId="2B9CD531"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3AAB7BCA" w14:textId="77777777" w:rsidR="00351D5B" w:rsidRPr="00536624" w:rsidRDefault="00351D5B" w:rsidP="00351D5B">
      <w:pPr>
        <w:spacing w:after="0" w:line="240" w:lineRule="auto"/>
        <w:ind w:right="-1" w:firstLine="567"/>
        <w:jc w:val="both"/>
        <w:rPr>
          <w:rFonts w:cstheme="minorHAnsi"/>
        </w:rPr>
      </w:pPr>
    </w:p>
    <w:p w14:paraId="5FB8B6B1" w14:textId="400D2E86" w:rsidR="00351D5B" w:rsidRPr="00536624" w:rsidRDefault="00351D5B" w:rsidP="00351D5B">
      <w:pPr>
        <w:spacing w:after="0" w:line="240" w:lineRule="auto"/>
        <w:ind w:right="-1" w:firstLine="567"/>
        <w:jc w:val="both"/>
        <w:rPr>
          <w:rFonts w:cstheme="minorHAnsi"/>
        </w:rPr>
      </w:pPr>
      <w:r w:rsidRPr="00536624">
        <w:rPr>
          <w:rFonts w:cstheme="minorHAnsi"/>
        </w:rPr>
        <w:t>Teismas pažymėjo, jog ginčo dėl to, kad surinkti duomenys - DNR profilio, pirštų antspaudų bei nuotrauka – yra asmens duomenys ir jų saugojimas yra kišimasis į pareiškėjo asmeninį gyvenimą, nėra. Tačiau priminė, jog vertindamas, ar kišimasis buvo pagrįstas, Teismas atsižvelgs į konkretų kontekstą, kur buvo įrašoma ir saugojama nagrinėjama informacija, įrašų pobūdį, įrašų naudojimo būdą ir rezultatus, kuriuos galima gauti. Teismas taip pat priminė, jog bet koks kišimasis į privatų gyvenimą</w:t>
      </w:r>
      <w:r w:rsidR="00263E9F">
        <w:rPr>
          <w:rFonts w:cstheme="minorHAnsi"/>
        </w:rPr>
        <w:t xml:space="preserve"> turi atitikti įstatymus, siekti</w:t>
      </w:r>
      <w:r w:rsidRPr="00536624">
        <w:rPr>
          <w:rFonts w:cstheme="minorHAnsi"/>
        </w:rPr>
        <w:t xml:space="preserve"> bent vieno teisėto tikslo ir turi būti būtinas demokratinėje visuomenėje. Vertindamas minėtas sąlygas, Teismas konstatavo, jog palaiko nacionalinių teismų išvadas, jog biometrinių duomenų saugojimas siekė teisėto tikslo – nusikaltimų išaiškinimo bei nusikalstamumo prevencijos, taip pat minėtų duomenų saugojimas buvo įtvirtintas teisės aktuose, tačiau kai kurios nuostatos buvo per plačios ir netikslios, todėl tikslingiau nagrinėti byloje iškilusius klausimus ne teisėtumo, o proporcingumo požiūriu. </w:t>
      </w:r>
    </w:p>
    <w:p w14:paraId="4C459AFD" w14:textId="77777777" w:rsidR="00351D5B" w:rsidRPr="00536624" w:rsidRDefault="00351D5B" w:rsidP="00351D5B">
      <w:pPr>
        <w:spacing w:after="0" w:line="240" w:lineRule="auto"/>
        <w:ind w:right="-1" w:firstLine="567"/>
        <w:jc w:val="both"/>
        <w:rPr>
          <w:rFonts w:cstheme="minorHAnsi"/>
        </w:rPr>
      </w:pPr>
      <w:r w:rsidRPr="00536624">
        <w:rPr>
          <w:rFonts w:cstheme="minorHAnsi"/>
        </w:rPr>
        <w:lastRenderedPageBreak/>
        <w:t xml:space="preserve">Teismas nurodė, jog nustatydamos nuteistųjų biometrinių duomenų saugojimo ribas, valstybės narės turėjo siauresnę vertinimo laisvę. Tačiau duomenų saugojimo trukmė nebūtinai lemia vertinimą, jog valstybė peržengė galimas ribas. Svarbu ir tai, ar reguliavimas atsižvelgė į nusikaltimo sunkumą ir poreikį saugoti duomenis, taip pat į asmeniui prieinamas apsaugos priemones. Kai valstybė nusistato neterminuotą duomenų saugojimą, tam tikrų apsaugos priemonių buvimas tampa lemiamu. </w:t>
      </w:r>
    </w:p>
    <w:p w14:paraId="2557AAF6"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Vyriausybės teigimu, turint daugiau duomenų, galima užkirsti kelia didesniam kiekiui nusikaltimų. Teismo vertinimu, tokio argumento pripažinimas pateisintų informacijos apie visus gyventojus ir jų mirusius artimuosius saugojimą. </w:t>
      </w:r>
    </w:p>
    <w:p w14:paraId="2F466B0C" w14:textId="77777777" w:rsidR="00351D5B" w:rsidRPr="00536624" w:rsidRDefault="00351D5B" w:rsidP="00351D5B">
      <w:pPr>
        <w:spacing w:after="0" w:line="240" w:lineRule="auto"/>
        <w:ind w:right="-1" w:firstLine="567"/>
        <w:jc w:val="both"/>
        <w:rPr>
          <w:rFonts w:cstheme="minorHAnsi"/>
        </w:rPr>
      </w:pPr>
      <w:r w:rsidRPr="00536624">
        <w:rPr>
          <w:rFonts w:cstheme="minorHAnsi"/>
        </w:rPr>
        <w:t>Teismas pažymėjo, jog pasirinkus taikyti neterminuotą duomenų saugojimo režimą, valstybei reikėjo užtikrinti, kad pareiškėjui būtų užtikrintos ir veiksmingos tam tikros apsaugos priemonės. Tačiau šiuo atveju pareiškėjo biometriniai duomenys ir nuotraukos buvo saugomi neatsižvelgiant į jo padaryto nusikaltimo sunkumą ir neatsižvelgiant į poreikį šiuos duomenis saugoti neribotą laiką. Be to, policijai buvo suteikti įgaliojimai ištrinti biometrinius duomenis ir nuotraukas tik išimtinėmis aplinkybėmis. Nebuvo jokios nuostatos, leidžiančios pareiškėjui kreiptis dėl to, kad būtų ištrinti su juo susiję duomenis tuo atveju, jei jų saugoti nebuvo būtina atsižvelgiant į nusikaltimo pobūdį, suinteresuoto asmens amžių, praėjusį laiką ir asmenybę. Teismas akcentavo, jog asmens galimybė dėl jo duomenų peržiūros iš esmės buvo tik hipotetinė.</w:t>
      </w:r>
    </w:p>
    <w:p w14:paraId="3B85705E"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konstatavo, jog įvertinęs tai, kad pareiškėjo biometrinių duomenų saugojimas, neatsižvelgiant į nusikalstamos veikos sunkumą, neapibrėžto saugojimo poreikį ir nesant realios peržiūros galimybės, neranda teisingos pusiausvyros tarp konkuruojančių viešųjų ir privačių interesų. Valstybė turėjo šiek tiek platesnę laisvę spręsti dėl pirštų antspaudų ir nuotraukų išsaugojimo, tačiau platesnės </w:t>
      </w:r>
      <w:proofErr w:type="spellStart"/>
      <w:r w:rsidRPr="00536624">
        <w:rPr>
          <w:rFonts w:cstheme="minorHAnsi"/>
        </w:rPr>
        <w:t>diskrecijos</w:t>
      </w:r>
      <w:proofErr w:type="spellEnd"/>
      <w:r w:rsidRPr="00536624">
        <w:rPr>
          <w:rFonts w:cstheme="minorHAnsi"/>
        </w:rPr>
        <w:t xml:space="preserve"> nepakanka išvadai, jog tokių duomenų saugojimas galėtų būti proporcingas tokiomis aplinkybėmis, kai nėra apsaugos priemonių, įskaitant realios peržiūros nebuvimo.</w:t>
      </w:r>
    </w:p>
    <w:p w14:paraId="0934AB28"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Atsižvelgiant į tai, Teismas konstatavo, kad valstybė šiuo atveju peržengė savo </w:t>
      </w:r>
      <w:proofErr w:type="spellStart"/>
      <w:r w:rsidRPr="00536624">
        <w:rPr>
          <w:rFonts w:cstheme="minorHAnsi"/>
        </w:rPr>
        <w:t>diskrecijos</w:t>
      </w:r>
      <w:proofErr w:type="spellEnd"/>
      <w:r w:rsidRPr="00536624">
        <w:rPr>
          <w:rFonts w:cstheme="minorHAnsi"/>
        </w:rPr>
        <w:t xml:space="preserve"> ribą, kadangi neterminuotai saugant duomenis buvo neproporcingai varžoma pareiškėjo teisė į privatų gyvenimą ir tai negali būti laikoma būtinu dalyku demokratinėje visuomenėje.</w:t>
      </w:r>
    </w:p>
    <w:p w14:paraId="4496CB50" w14:textId="77777777" w:rsidR="00351D5B" w:rsidRPr="00536624" w:rsidRDefault="00351D5B" w:rsidP="00351D5B">
      <w:pPr>
        <w:spacing w:after="0" w:line="240" w:lineRule="auto"/>
        <w:ind w:right="-1" w:firstLine="567"/>
        <w:jc w:val="both"/>
        <w:rPr>
          <w:rFonts w:cstheme="minorHAnsi"/>
        </w:rPr>
      </w:pPr>
    </w:p>
    <w:p w14:paraId="6802953A"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nustatytas Konvencijos 8 straipsnio pažeidimas (vienbalsiai). </w:t>
      </w:r>
    </w:p>
    <w:p w14:paraId="4623B1C1" w14:textId="77777777" w:rsidR="00351D5B" w:rsidRPr="00536624" w:rsidRDefault="00351D5B" w:rsidP="00351D5B">
      <w:pPr>
        <w:spacing w:after="0" w:line="240" w:lineRule="auto"/>
        <w:ind w:right="-1" w:firstLine="567"/>
        <w:jc w:val="both"/>
        <w:rPr>
          <w:rFonts w:cstheme="minorHAnsi"/>
        </w:rPr>
      </w:pPr>
      <w:r w:rsidRPr="00536624">
        <w:rPr>
          <w:rFonts w:cstheme="minorHAnsi"/>
        </w:rPr>
        <w:t>41 straipsnis: pažeidimo konstatavimas kaip pakankama satisfakcija neturtinės žalos atlyginimui.</w:t>
      </w:r>
    </w:p>
    <w:p w14:paraId="6267113A" w14:textId="77777777" w:rsidR="00351D5B" w:rsidRPr="00536624" w:rsidRDefault="00267716" w:rsidP="00351D5B">
      <w:pPr>
        <w:spacing w:after="0" w:line="240" w:lineRule="auto"/>
        <w:ind w:right="-1" w:firstLine="567"/>
        <w:jc w:val="both"/>
        <w:rPr>
          <w:rFonts w:cstheme="minorHAnsi"/>
        </w:rPr>
      </w:pPr>
      <w:hyperlink r:id="rId19" w:history="1">
        <w:r w:rsidR="00351D5B" w:rsidRPr="00536624">
          <w:rPr>
            <w:rStyle w:val="Hipersaitas"/>
            <w:rFonts w:cstheme="minorHAnsi"/>
          </w:rPr>
          <w:t>Prieiga internete</w:t>
        </w:r>
      </w:hyperlink>
    </w:p>
    <w:p w14:paraId="270CCF4A" w14:textId="77777777" w:rsidR="00351D5B" w:rsidRPr="00536624" w:rsidRDefault="00351D5B" w:rsidP="00351D5B">
      <w:pPr>
        <w:spacing w:after="0" w:line="240" w:lineRule="auto"/>
        <w:ind w:right="-1" w:firstLine="567"/>
        <w:jc w:val="both"/>
        <w:rPr>
          <w:rFonts w:cstheme="minorHAnsi"/>
        </w:rPr>
      </w:pPr>
    </w:p>
    <w:p w14:paraId="31790EF8"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kovo 3 d. sprendimas byloje</w:t>
      </w:r>
    </w:p>
    <w:p w14:paraId="0C4005B5" w14:textId="77777777" w:rsidR="00351D5B" w:rsidRPr="00536624" w:rsidRDefault="00351D5B" w:rsidP="003460C1">
      <w:pPr>
        <w:pStyle w:val="Antrat2"/>
        <w:jc w:val="center"/>
        <w:rPr>
          <w:i/>
        </w:rPr>
      </w:pPr>
      <w:bookmarkStart w:id="25" w:name="_Toc52184439"/>
      <w:proofErr w:type="spellStart"/>
      <w:r w:rsidRPr="00536624">
        <w:rPr>
          <w:i/>
        </w:rPr>
        <w:t>Convertito</w:t>
      </w:r>
      <w:proofErr w:type="spellEnd"/>
      <w:r w:rsidRPr="00536624">
        <w:rPr>
          <w:i/>
        </w:rPr>
        <w:t xml:space="preserve"> ir kiti prieš Rumuniją</w:t>
      </w:r>
      <w:bookmarkEnd w:id="25"/>
    </w:p>
    <w:p w14:paraId="0F279A6B"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30547/14, svarbos lygis – 2)</w:t>
      </w:r>
    </w:p>
    <w:p w14:paraId="7D5BAE0B"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4130DE85" w14:textId="77777777" w:rsidR="00351D5B" w:rsidRPr="00536624" w:rsidRDefault="00351D5B" w:rsidP="005D6E08">
      <w:pPr>
        <w:pStyle w:val="Antrat3"/>
        <w:ind w:firstLine="567"/>
        <w:jc w:val="both"/>
      </w:pPr>
      <w:bookmarkStart w:id="26" w:name="_Toc52184440"/>
      <w:r w:rsidRPr="00536624">
        <w:t>Dėl valstybės išduotų diplomų anuliavimo, nustačius administracinio pobūdžio neatitikimus registravimosi procedūroje pirmaisiais studijų metais</w:t>
      </w:r>
      <w:bookmarkEnd w:id="26"/>
    </w:p>
    <w:p w14:paraId="0AD57E58"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B5CAA45"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6CFCEAA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DC34E2E"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2003 ir 2004 m. pareiškėjai, penki Italijos piliečiai, pradėjo universitetinius odontologijos kursus. Universiteto rektoriaus sprendimuose dėl priėmimo nurodyta „nagrinėjami“, kol bus gauti patvirtinimo laiškai iš Šveitimo ministerijos. Pareiškėjai 2008 ir 2009 metais išlaikė rumunų kalbos žinių testus. Universiteto rektoriaus ir Švietimo ministerijos atstovų bendradarbiavimo 2009 m. metu išaiškėjo, jog pirmasis pareiškėjas vis dar negavo priėmimo rašto ir kad kitiems keturiems išduoti laiškai buvo susiję ne su jų priėmimo mokslo metais, bet su esamais akademiniais metais. Nepaisant to, Universiteto senatas pritarė Medicinos ir farmacijos fakulteto dekano siūlymui leisti pareiškėjams laikyti baigiamuosius egzaminus, ką šie 2010 m. sėkmingai padarė. Vėliau pareiškėjai ėmėsi veiksmų, kad šie diplomai būtų pripažinti Italijos institucijų ir jie galėtų užsiimti odontologo praktika kilmės valstybėje. </w:t>
      </w:r>
    </w:p>
    <w:p w14:paraId="089B0D10" w14:textId="156BF81E"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Švietimo ministerija, 2011 metais atlikusi administracinę kontrolę, nustatė tam tikrus neatitikimus, susijusius su pavėluotu priėmimo laiškų išsiuntimu daugeliui studentų (įskaitant pareiškėjus), ir pareikalavo universiteto rektoriaus anuliuoti pareiškėjams išduotus diplomus. Pareiškėjams išduoti diplomai buvo anuliuoti Universiteto senato 2011 m. rugsėjo mėnesį priimtais sprendimais, o </w:t>
      </w:r>
      <w:r w:rsidR="00263E9F">
        <w:rPr>
          <w:rFonts w:eastAsia="Times New Roman" w:cstheme="minorHAnsi"/>
          <w:color w:val="000000"/>
        </w:rPr>
        <w:t>pareiškėjų</w:t>
      </w:r>
      <w:r w:rsidRPr="00536624">
        <w:rPr>
          <w:rFonts w:eastAsia="Times New Roman" w:cstheme="minorHAnsi"/>
          <w:color w:val="000000"/>
        </w:rPr>
        <w:t xml:space="preserve"> skundai </w:t>
      </w:r>
      <w:r w:rsidR="00263E9F">
        <w:rPr>
          <w:rFonts w:eastAsia="Times New Roman" w:cstheme="minorHAnsi"/>
          <w:color w:val="000000"/>
        </w:rPr>
        <w:t xml:space="preserve">dėl šių sprendimų </w:t>
      </w:r>
      <w:r w:rsidRPr="00536624">
        <w:rPr>
          <w:rFonts w:eastAsia="Times New Roman" w:cstheme="minorHAnsi"/>
          <w:color w:val="000000"/>
        </w:rPr>
        <w:t>nacionaliniuose teismuose buvo nesėkmingi.</w:t>
      </w:r>
    </w:p>
    <w:p w14:paraId="3F50C3D4" w14:textId="0F67623F"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lastRenderedPageBreak/>
        <w:t>Remdamiesi Konvencijos 8 straipsniu, pareiškėjai skundėsi Teismui, kad valstybinių diplomų panaikinimas po šešerių sėkmingo aukštojo mokslo metų pažeidė jų teisę į privataus gyvenimo gerbimą, nes</w:t>
      </w:r>
      <w:r w:rsidR="00263E9F">
        <w:rPr>
          <w:rFonts w:eastAsia="Times New Roman" w:cstheme="minorHAnsi"/>
          <w:color w:val="000000"/>
        </w:rPr>
        <w:t>, anot jų, administracinė tvarka</w:t>
      </w:r>
      <w:r w:rsidRPr="00536624">
        <w:rPr>
          <w:rFonts w:eastAsia="Times New Roman" w:cstheme="minorHAnsi"/>
          <w:color w:val="000000"/>
        </w:rPr>
        <w:t>, dėl kurios jie buvo kaltinami, priskirtina universiteto administracijos ir Šveitimo ministerijos kompetencijai.</w:t>
      </w:r>
    </w:p>
    <w:p w14:paraId="18756B84"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6BAA7613"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0580AFEA"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4E964F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pabrėžė, jog pareiškėjai siekė įgyti diplomus odontologijos srityje tam, kad galėtų užsiimti šia profesija. Jiems išduotų diplomų anuliavimas turi įtaką ne tik jų socialinei tapatybei, suformuotai per ryšius su kitais asmenimis, bet ir profesiniam gyvenimui, nes staiga atsirado kliūtys jiems užsiimti planuota veikla. Taigi, ginčijamos priemonės sukėlė pasekmes pareiškėjų teisei į privataus gyvenimo gerbimą Konvencijos 8 straipsnio prasme.</w:t>
      </w:r>
    </w:p>
    <w:p w14:paraId="78D36A70"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pastebėjo, kad sprendimuose anuliuoti pareiškėjams išduotus diplomus minimas tik vienas motyvas (pavėluotai išduoti priėmimo laiškai), nors apeliacinio teismo sprendime minimi trys motyvai tokiems sprendimams priimti. Teismas, vertindamas ginčui aktualaus teisinio reguliavimo </w:t>
      </w:r>
      <w:proofErr w:type="spellStart"/>
      <w:r w:rsidRPr="00536624">
        <w:rPr>
          <w:rFonts w:eastAsia="Times New Roman" w:cstheme="minorHAnsi"/>
          <w:color w:val="000000"/>
        </w:rPr>
        <w:t>numatomumą</w:t>
      </w:r>
      <w:proofErr w:type="spellEnd"/>
      <w:r w:rsidRPr="00536624">
        <w:rPr>
          <w:rFonts w:eastAsia="Times New Roman" w:cstheme="minorHAnsi"/>
          <w:color w:val="000000"/>
        </w:rPr>
        <w:t>, atkreipė dėmesį į tai, kad priėmimo laiškų tikslas buvo suteikti galimybę Švietimo ministerijai patikrinti užsieniečių pateiktus diplomus, kurių pagrindu siekiama registracijos aukštojoje mokykloje (juos pripažinti ir palyginti), o pareiga kreiptis dėl priėmimo laiškų teko universiteto rektoriui. Nagrinėjamu atveju pareiškėjai atitiko nacionaliniame reglamentavime įtvirtintas sąlygas, susijusias su jų studijų pripažinimu, ir byloje nėra duomenų, patvirtinančių jų kaltę dėl pavėluotai išduotų dokumentų. Teismo vertinimu, delsimas įgyti kalbos žinių sertifikatus taip pat nelaikytinas pakankama priežastimi panaikinti pareiškėjams išduotus diplomus. Atsižvelgiant į tai, kilo abejonių dėl pareiškėjų galimybės numatyti jų diplomų anuliavimą.</w:t>
      </w:r>
    </w:p>
    <w:p w14:paraId="61A73D8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spręsdamas dėl pritaikytais apribojimais siekiamo tikslo teisėtumo, ištyrė Vyriausybės paaiškinimus, jog pareiškėjams išduoti diplomai buvo anuliuoti siekiant užtikrinti visuomenės sveikatą ir kokybišką aukštesnįjį išsilavinimą. Teismo įsitikinimu, šie tikslai laikytini atitinkančiais viešosios tvarkos užtikrinimo, kitų asmenų (t. y. asmenų, siekiančių gauti paslaugas, kurias pareiškėjai galėtų suteikti) teisių apsaugos tikslus.</w:t>
      </w:r>
    </w:p>
    <w:p w14:paraId="67F13598" w14:textId="3A485831" w:rsidR="00351D5B" w:rsidRPr="00536624" w:rsidRDefault="00263E9F"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Pr>
          <w:rFonts w:eastAsia="Times New Roman" w:cstheme="minorHAnsi"/>
          <w:color w:val="000000"/>
        </w:rPr>
        <w:t>V</w:t>
      </w:r>
      <w:r w:rsidR="00351D5B" w:rsidRPr="00536624">
        <w:rPr>
          <w:rFonts w:eastAsia="Times New Roman" w:cstheme="minorHAnsi"/>
          <w:color w:val="000000"/>
        </w:rPr>
        <w:t xml:space="preserve">ertindamas pareiškėjų atžvilgiu pritaikytų priemonių būtinumą, </w:t>
      </w:r>
      <w:r>
        <w:rPr>
          <w:rFonts w:eastAsia="Times New Roman" w:cstheme="minorHAnsi"/>
          <w:color w:val="000000"/>
        </w:rPr>
        <w:t xml:space="preserve">Teismas </w:t>
      </w:r>
      <w:r w:rsidR="00351D5B" w:rsidRPr="00536624">
        <w:rPr>
          <w:rFonts w:eastAsia="Times New Roman" w:cstheme="minorHAnsi"/>
          <w:color w:val="000000"/>
        </w:rPr>
        <w:t>pirmiausiai pažymėjo, jog sprendimai dėl pareiškėjų registracijos, kurių pagrindu jie šešerius metus lankė odontologijos kursus, buvo pasirašyti įstaigos atstovo, konkrečiai – Medicinos ir farmacijos fakulteto dekano, prieš gaunant priėmimo laiškus ir kalbos žinių sertifikatus. Kompetentingos institucijos pareiškėjams leido ne tik užsiregistruoti universitete ir lankyti studijas, bet ir laikyti baigiamuosius egzaminus. Universiteto senatas patvirtino pareiškėjų situacijos teisėtumą ir pateisino jų dalyvavimą baigiamuosiuose egzaminuose, priimdamas 2009–2010 metų sprendimus. Teismas akcentavo šių sprendimų priėmimo kontekstą, t. y. universiteto administracijos ir Švietimo ministerijos pozicijos išsiskyrimą dėl pavėluotų priėmimo laiškų vertinimo. Pažymėta, kad ši netikrumo ir nenuoseklumo situacija susidarė ne dėl pareiškėjų kaltės. Esant tokioms aplinkybėms, tokie staigūs kompetentingų institucijų sprendimai anuliuoti pareiškėjams išduotus diplomus apsunkino jų profesinę padėtį, nepaisant to, kad nebuvo pagrindo abejoti jų gebėjimu vykdyti savo funkcijas (kvalifikacijos lygiu). Teismas padarė išvadą, kad pareiškėjų atžvilgiu pritaikytos priemonės nebuvo pagrįstos svarbiu visuomeniniu poreikiu, jos nebuvo proporcingos siekiamiems tikslams ir todėl nebūtinos demokratinėje visuomenėje.</w:t>
      </w:r>
    </w:p>
    <w:p w14:paraId="2BA1ED3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E1677D9"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nustatytas Konvencijos 8 straipsnio pažeidimas (vienbalsiai). </w:t>
      </w:r>
    </w:p>
    <w:p w14:paraId="3F00BF5C" w14:textId="77777777" w:rsidR="00351D5B" w:rsidRPr="00536624" w:rsidRDefault="00351D5B" w:rsidP="00351D5B">
      <w:pPr>
        <w:spacing w:after="0" w:line="240" w:lineRule="auto"/>
        <w:ind w:right="-1" w:firstLine="567"/>
        <w:jc w:val="both"/>
        <w:rPr>
          <w:rFonts w:cstheme="minorHAnsi"/>
          <w:color w:val="000000"/>
        </w:rPr>
      </w:pPr>
      <w:r w:rsidRPr="00536624">
        <w:rPr>
          <w:rFonts w:cstheme="minorHAnsi"/>
        </w:rPr>
        <w:t xml:space="preserve">41 straipsnis: </w:t>
      </w:r>
      <w:r w:rsidRPr="00536624">
        <w:rPr>
          <w:rFonts w:eastAsia="Times New Roman" w:cstheme="minorHAnsi"/>
          <w:color w:val="000000"/>
        </w:rPr>
        <w:t>kiekvienam iš pareiškėjų priteista po 10 000 EUR neturtinei žalai atlyginti.</w:t>
      </w:r>
    </w:p>
    <w:p w14:paraId="1ABA0C42" w14:textId="77777777" w:rsidR="00351D5B" w:rsidRPr="00536624" w:rsidRDefault="00267716" w:rsidP="00351D5B">
      <w:pPr>
        <w:spacing w:after="0" w:line="240" w:lineRule="auto"/>
        <w:ind w:right="-1" w:firstLine="567"/>
        <w:jc w:val="both"/>
        <w:rPr>
          <w:rFonts w:cstheme="minorHAnsi"/>
        </w:rPr>
      </w:pPr>
      <w:hyperlink r:id="rId20" w:history="1">
        <w:r w:rsidR="00351D5B" w:rsidRPr="00536624">
          <w:rPr>
            <w:rFonts w:cstheme="minorHAnsi"/>
            <w:color w:val="0000FF"/>
            <w:u w:val="single"/>
          </w:rPr>
          <w:t>Prieiga internete</w:t>
        </w:r>
      </w:hyperlink>
    </w:p>
    <w:p w14:paraId="10DCDD38" w14:textId="77777777" w:rsidR="00351D5B" w:rsidRPr="00536624" w:rsidRDefault="00351D5B" w:rsidP="00351D5B">
      <w:pPr>
        <w:shd w:val="clear" w:color="auto" w:fill="FFFFFF"/>
        <w:spacing w:after="0" w:line="240" w:lineRule="auto"/>
        <w:ind w:right="-1"/>
        <w:jc w:val="center"/>
        <w:rPr>
          <w:rFonts w:cstheme="minorHAnsi"/>
        </w:rPr>
      </w:pPr>
    </w:p>
    <w:p w14:paraId="198105BC" w14:textId="77777777" w:rsidR="00351D5B" w:rsidRPr="00536624" w:rsidRDefault="00351D5B" w:rsidP="00001422">
      <w:pPr>
        <w:pStyle w:val="Antrat1"/>
        <w:rPr>
          <w:rFonts w:eastAsia="Times New Roman"/>
        </w:rPr>
      </w:pPr>
      <w:bookmarkStart w:id="27" w:name="_Toc52184441"/>
      <w:r w:rsidRPr="00536624">
        <w:rPr>
          <w:rFonts w:eastAsia="Times New Roman"/>
        </w:rPr>
        <w:t>MINTIES, SĄŽINĖS IR RELIGIJOS LAISVĖ (9 straipsnis)</w:t>
      </w:r>
      <w:bookmarkEnd w:id="27"/>
    </w:p>
    <w:p w14:paraId="05C5C335"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0EDE8DCA"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gegužės 12 d. sprendimas byloje</w:t>
      </w:r>
    </w:p>
    <w:p w14:paraId="0AF24771" w14:textId="77777777" w:rsidR="00351D5B" w:rsidRPr="00536624" w:rsidRDefault="00351D5B" w:rsidP="00351D5B">
      <w:pPr>
        <w:pStyle w:val="Antrat2"/>
        <w:ind w:right="-1" w:firstLine="0"/>
        <w:jc w:val="center"/>
        <w:rPr>
          <w:rFonts w:eastAsia="Calibri" w:cstheme="minorHAnsi"/>
          <w:i/>
        </w:rPr>
      </w:pPr>
      <w:bookmarkStart w:id="28" w:name="_Toc52184442"/>
      <w:proofErr w:type="spellStart"/>
      <w:r w:rsidRPr="00536624">
        <w:rPr>
          <w:rFonts w:eastAsia="Calibri" w:cstheme="minorHAnsi"/>
          <w:i/>
        </w:rPr>
        <w:t>Korostelev</w:t>
      </w:r>
      <w:proofErr w:type="spellEnd"/>
      <w:r w:rsidRPr="00536624">
        <w:rPr>
          <w:rFonts w:eastAsia="Calibri" w:cstheme="minorHAnsi"/>
          <w:i/>
        </w:rPr>
        <w:t xml:space="preserve"> prieš Rusiją</w:t>
      </w:r>
      <w:bookmarkEnd w:id="28"/>
    </w:p>
    <w:p w14:paraId="0BAB715A"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29290/10</w:t>
      </w:r>
      <w:r w:rsidRPr="00536624">
        <w:rPr>
          <w:rFonts w:cstheme="minorHAnsi"/>
          <w:b/>
        </w:rPr>
        <w:t>, svarbos lygis – 2</w:t>
      </w:r>
      <w:r w:rsidRPr="00536624">
        <w:rPr>
          <w:rFonts w:eastAsia="Times New Roman" w:cstheme="minorHAnsi"/>
          <w:b/>
        </w:rPr>
        <w:t>)</w:t>
      </w:r>
    </w:p>
    <w:p w14:paraId="4B283F1E" w14:textId="77777777" w:rsidR="00351D5B" w:rsidRPr="00536624" w:rsidRDefault="00351D5B" w:rsidP="00351D5B">
      <w:pPr>
        <w:shd w:val="clear" w:color="auto" w:fill="FFFFFF"/>
        <w:spacing w:after="0" w:line="240" w:lineRule="auto"/>
        <w:ind w:right="-1" w:firstLine="567"/>
        <w:jc w:val="center"/>
        <w:rPr>
          <w:rFonts w:eastAsia="Times New Roman" w:cstheme="minorHAnsi"/>
          <w:b/>
          <w:bCs/>
          <w:color w:val="000000"/>
        </w:rPr>
      </w:pPr>
    </w:p>
    <w:p w14:paraId="620A4F4B"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29" w:name="_Toc52184443"/>
      <w:r w:rsidRPr="00536624">
        <w:rPr>
          <w:rFonts w:eastAsia="Calibri" w:cstheme="minorHAnsi"/>
          <w:bCs/>
          <w:iCs/>
          <w:szCs w:val="22"/>
        </w:rPr>
        <w:lastRenderedPageBreak/>
        <w:t>Dėl kalinio nubaudimo už tai, kad jis, pažeisdamas kalėjimo grafiką, meldėsi naktį</w:t>
      </w:r>
      <w:bookmarkEnd w:id="29"/>
    </w:p>
    <w:p w14:paraId="4090D194" w14:textId="77777777" w:rsidR="00351D5B" w:rsidRPr="00536624" w:rsidRDefault="00351D5B" w:rsidP="00351D5B">
      <w:pPr>
        <w:spacing w:after="0" w:line="240" w:lineRule="auto"/>
        <w:ind w:right="-1" w:firstLine="567"/>
        <w:rPr>
          <w:rFonts w:cstheme="minorHAnsi"/>
        </w:rPr>
      </w:pPr>
    </w:p>
    <w:p w14:paraId="0EC4F2BC"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34A0D337" w14:textId="77777777" w:rsidR="00351D5B" w:rsidRPr="00536624" w:rsidRDefault="00351D5B" w:rsidP="00351D5B">
      <w:pPr>
        <w:spacing w:after="0" w:line="240" w:lineRule="auto"/>
        <w:ind w:right="-1" w:firstLine="567"/>
        <w:rPr>
          <w:rFonts w:cstheme="minorHAnsi"/>
        </w:rPr>
      </w:pPr>
    </w:p>
    <w:p w14:paraId="18D3B24F" w14:textId="77777777" w:rsidR="00351D5B" w:rsidRPr="00536624" w:rsidRDefault="00351D5B" w:rsidP="00351D5B">
      <w:pPr>
        <w:spacing w:after="0" w:line="240" w:lineRule="auto"/>
        <w:ind w:right="-1" w:firstLine="567"/>
        <w:jc w:val="both"/>
        <w:rPr>
          <w:rFonts w:cstheme="minorHAnsi"/>
        </w:rPr>
      </w:pPr>
      <w:r w:rsidRPr="00536624">
        <w:rPr>
          <w:rFonts w:cstheme="minorHAnsi"/>
        </w:rPr>
        <w:t>Pareiškėjas, praktikuojantis musulmonas, kalinimo įstaigos vadovo sprendimu gavo nuobaudą (papeikimą) dėl netinkamo elgesio kalėjime – meldimosi naktį (skirtingomis datomis 1 val. bei 2.53 val.), kai tuo tarpu visiems sulaikytiesiems buvo nustatytas „miegojimo be pertraukų“ režimas, bei kalėjimo prižiūrėtojų nurodymų grįžti į miegojimo vietą nepaisymo.</w:t>
      </w:r>
    </w:p>
    <w:p w14:paraId="0C6C4590"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Pareiškėjas, nesėkmingai bandęs apskųsti nuobaudą nacionaliniuose teismuose, galiausiai kreipėsi į Teismą skųsdamasis tuo, jog drausmės bylos už religinį garbinimą naktį pradėjimas bei galimybės vykdyti religines pareigas nebuvimas pažeidė Konvencijos 9 straipsnį. </w:t>
      </w:r>
    </w:p>
    <w:p w14:paraId="30B55604" w14:textId="77777777" w:rsidR="00351D5B" w:rsidRPr="00536624" w:rsidRDefault="00351D5B" w:rsidP="00351D5B">
      <w:pPr>
        <w:spacing w:after="0" w:line="240" w:lineRule="auto"/>
        <w:ind w:right="-1" w:firstLine="567"/>
        <w:jc w:val="both"/>
        <w:rPr>
          <w:rFonts w:cstheme="minorHAnsi"/>
        </w:rPr>
      </w:pPr>
    </w:p>
    <w:p w14:paraId="37B1B3D7" w14:textId="77777777" w:rsidR="00351D5B" w:rsidRPr="00536624" w:rsidRDefault="00351D5B" w:rsidP="00351D5B">
      <w:pPr>
        <w:spacing w:after="0" w:line="240" w:lineRule="auto"/>
        <w:ind w:right="-1" w:firstLine="567"/>
        <w:jc w:val="center"/>
        <w:rPr>
          <w:rFonts w:eastAsia="Times New Roman" w:cstheme="minorHAnsi"/>
          <w:b/>
          <w:bCs/>
          <w:color w:val="000000"/>
        </w:rPr>
      </w:pPr>
      <w:r w:rsidRPr="00536624">
        <w:rPr>
          <w:rFonts w:eastAsia="Times New Roman" w:cstheme="minorHAnsi"/>
          <w:b/>
          <w:bCs/>
          <w:color w:val="000000"/>
        </w:rPr>
        <w:t>Neoficiali Teismo sprendimo apžvalga</w:t>
      </w:r>
    </w:p>
    <w:p w14:paraId="374D1786" w14:textId="77777777" w:rsidR="00351D5B" w:rsidRPr="00536624" w:rsidRDefault="00351D5B" w:rsidP="00351D5B">
      <w:pPr>
        <w:spacing w:after="0" w:line="240" w:lineRule="auto"/>
        <w:ind w:right="-1" w:firstLine="567"/>
        <w:jc w:val="both"/>
        <w:rPr>
          <w:rFonts w:cstheme="minorHAnsi"/>
        </w:rPr>
      </w:pPr>
    </w:p>
    <w:p w14:paraId="238C300C" w14:textId="710A0C30" w:rsidR="00351D5B" w:rsidRPr="00536624" w:rsidRDefault="00351D5B" w:rsidP="00351D5B">
      <w:pPr>
        <w:spacing w:after="0" w:line="240" w:lineRule="auto"/>
        <w:ind w:right="-1" w:firstLine="567"/>
        <w:jc w:val="both"/>
        <w:rPr>
          <w:rFonts w:cstheme="minorHAnsi"/>
        </w:rPr>
      </w:pPr>
      <w:r w:rsidRPr="00536624">
        <w:rPr>
          <w:rFonts w:cstheme="minorHAnsi"/>
        </w:rPr>
        <w:t>Teismas, pasiremdamas savo ankstesne praktika, priminė, jog religijos laisvė pirmiausia yra asmeninės minties ir sąžinės reikalas. Šis Konvencijos 9 straipsnio pirmoje pastraipoje nustatytos teisės aspektas, t. y. turėti bet kokį religinį įsitikinimą ir pakeisti religiją ar įsitikinimus, yra absoliutus ir neginčijamas. Be to, minėtame straipsnyje yra išdėstyta ir tai, jog religijos laisvė taip pat apima laisvę reikšti savo įsitikimus tiek atskirai ir vienam, tiek praktikuojantis bendruomenėje su kitais ir viešai. Kadangi vieno asmens religinių įsitikinimų demonstravimas gali turėti įtakos kitiems, Konvencijos rengėjai kvalifikavo šį religijos laisvės a</w:t>
      </w:r>
      <w:r w:rsidR="00263E9F">
        <w:rPr>
          <w:rFonts w:cstheme="minorHAnsi"/>
        </w:rPr>
        <w:t>s</w:t>
      </w:r>
      <w:r w:rsidRPr="00536624">
        <w:rPr>
          <w:rFonts w:cstheme="minorHAnsi"/>
        </w:rPr>
        <w:t>pektą taip, kaip nustatyta 9 straipsnio 2 dalyje. Čia numatyta, jog asmens laisvės į religiją ar įsitikinimus ribojim</w:t>
      </w:r>
      <w:r w:rsidR="00263E9F">
        <w:rPr>
          <w:rFonts w:cstheme="minorHAnsi"/>
        </w:rPr>
        <w:t>as turi būti nustatytas įstatymu</w:t>
      </w:r>
      <w:r w:rsidRPr="00536624">
        <w:rPr>
          <w:rFonts w:cstheme="minorHAnsi"/>
        </w:rPr>
        <w:t xml:space="preserve"> ir būtinas demokratinėje visuomenėje, siekiant vieno ar daugiau jame nustatytų teisėtų tikslų.</w:t>
      </w:r>
    </w:p>
    <w:p w14:paraId="541BF0F5" w14:textId="0EC8D231"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nurodė, </w:t>
      </w:r>
      <w:r w:rsidR="00263E9F">
        <w:rPr>
          <w:rFonts w:cstheme="minorHAnsi"/>
        </w:rPr>
        <w:t>jog tarp šalių ginčo dėl to, kad</w:t>
      </w:r>
      <w:r w:rsidRPr="00536624">
        <w:rPr>
          <w:rFonts w:cstheme="minorHAnsi"/>
        </w:rPr>
        <w:t xml:space="preserve"> drausminės nuobaudos paskyrimas (net ir papeikimo atveju), buvo asmens teisės į religijos laisvę ribojimas bei drausminės procedūros buvo numatytos įstatyme, nėra, tad šiuo atveju svarbiausias klausimas yra tai, ar šis ribojimas buvo pateisinamas ir būtinas demokratinėje visuomenėje.</w:t>
      </w:r>
    </w:p>
    <w:p w14:paraId="4EF7D479" w14:textId="77777777" w:rsidR="00351D5B" w:rsidRPr="00536624" w:rsidRDefault="00351D5B" w:rsidP="00351D5B">
      <w:pPr>
        <w:spacing w:after="0" w:line="240" w:lineRule="auto"/>
        <w:ind w:right="-1" w:firstLine="567"/>
        <w:jc w:val="both"/>
        <w:rPr>
          <w:rFonts w:cstheme="minorHAnsi"/>
        </w:rPr>
      </w:pPr>
      <w:r w:rsidRPr="00536624">
        <w:rPr>
          <w:rFonts w:cstheme="minorHAnsi"/>
        </w:rPr>
        <w:t>Šiuo aspektu Teismas pažymėjo, jog vienintelė pareiškėjo drausminimo priežastis buvo formalus jo veiksmų nesuderinamumas su kalėjimų grafiku, o institucija siekė užtikrinti, kad kiekvienas kalinys visiškai ir besąlygiškai laikytųsi šio grafiko. Pripažindamas kalėjimo drausmės svarbą, EŽTT pabrėžė, kad negali sutikti su tokiu formalistiniu požiūriu, kuris akivaizdžiai neatsižvelgė į pareiškėjo individualią situaciją bei į reikalavimą rasti teisingą pusiausvyrą tarp konkuruojančių privačių ir viešų interesų.</w:t>
      </w:r>
    </w:p>
    <w:p w14:paraId="149F0E43" w14:textId="49344D1C"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pažymėjo, kad pareiškėjui pagal jo tikėjimą buvo ypač svarbu religinius veiksmus atlikti tam tikru laiku. Ši pareiga turi būti vykdoma kiekvieną dieną, ypač per </w:t>
      </w:r>
      <w:proofErr w:type="spellStart"/>
      <w:r w:rsidRPr="00536624">
        <w:rPr>
          <w:rFonts w:cstheme="minorHAnsi"/>
        </w:rPr>
        <w:t>Ramadaną</w:t>
      </w:r>
      <w:proofErr w:type="spellEnd"/>
      <w:r w:rsidRPr="00536624">
        <w:rPr>
          <w:rFonts w:cstheme="minorHAnsi"/>
        </w:rPr>
        <w:t>. Nebuvo jokio pagrindo manyti, jog pareiškėjo naktinis meldimasis kėlė pavojų kalėjimo tvarkai ar saugumui. Pareiškėjas nenaudojo pavojingų daiktų ir nesiekė dalyvauti kolektyvinėse pamaldose didelėje grupėje kartu su kitais kaliniais. Be to, pareiškėjo meldimasis netrukdė kalėjimo gyventojams ar kalėjimo prižiūrėtojams, nes jis atliko tam tikrus garbinimo veiksmus (</w:t>
      </w:r>
      <w:proofErr w:type="spellStart"/>
      <w:r w:rsidRPr="00536624">
        <w:rPr>
          <w:rFonts w:cstheme="minorHAnsi"/>
        </w:rPr>
        <w:t>Salah</w:t>
      </w:r>
      <w:proofErr w:type="spellEnd"/>
      <w:r w:rsidRPr="00536624">
        <w:rPr>
          <w:rFonts w:cstheme="minorHAnsi"/>
        </w:rPr>
        <w:t xml:space="preserve">) vienas nuošaliai, be jokio triukšmo ar kitų trikdančių veiksnių. Galiausiai nebuvo jokių duomenų apie tai, kad meldimasis galėjo išsekinti pareiškėją, kenkti jo sveikatai ar kitaip sutrukdyti pastarajam </w:t>
      </w:r>
      <w:r w:rsidR="00263E9F">
        <w:rPr>
          <w:rFonts w:cstheme="minorHAnsi"/>
        </w:rPr>
        <w:t xml:space="preserve">vėliau </w:t>
      </w:r>
      <w:r w:rsidRPr="00536624">
        <w:rPr>
          <w:rFonts w:cstheme="minorHAnsi"/>
        </w:rPr>
        <w:t>dalyvauti baudžiamajame procese.</w:t>
      </w:r>
    </w:p>
    <w:p w14:paraId="34F2CDD3" w14:textId="77777777" w:rsidR="00351D5B" w:rsidRPr="00536624" w:rsidRDefault="00351D5B" w:rsidP="00351D5B">
      <w:pPr>
        <w:spacing w:after="0" w:line="240" w:lineRule="auto"/>
        <w:ind w:right="-1" w:firstLine="567"/>
        <w:jc w:val="both"/>
        <w:rPr>
          <w:rFonts w:cstheme="minorHAnsi"/>
        </w:rPr>
      </w:pPr>
      <w:r w:rsidRPr="00536624">
        <w:rPr>
          <w:rFonts w:cstheme="minorHAnsi"/>
        </w:rPr>
        <w:t>Teismas pažymėjo, kad kalėjimų grafike nebuvo aiškiai nurodytas „meldimosi laikas“ ar „asmeninis laikas“, kurį kaliniai gali naudoti savo nuožiūra, nors tai rekomenduoja Europos kalėjimų taisyklės. Esant tokioms aplinkybėms, nereikėjo jokių specialių valdžios institucijų susitarimų, kad būtų gerbiamas pareiškėjo noras pasimelsti.</w:t>
      </w:r>
    </w:p>
    <w:p w14:paraId="61CED4F1"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Galiausiai Teismas sprendė, jog skirtas papeikimas ne tik sumažino pareiškėjo galimybės būti anksčiau paleistam, sušvelninti kalėjimo režimą ar gauti paskatinimą, bet ir darė neigiamą poveikį kitiems kaliniams. Nacionaliniai teismai šiuo atveju tik nagrinėjo, ar pareiškėjo elgesys pažeidė kalėjimų grafiką, tačiau nepagrįstai neįvertino skirtos sankcijos proporcingumo. </w:t>
      </w:r>
    </w:p>
    <w:p w14:paraId="56CC11B8" w14:textId="77777777" w:rsidR="00351D5B" w:rsidRPr="00536624" w:rsidRDefault="00351D5B" w:rsidP="00351D5B">
      <w:pPr>
        <w:spacing w:after="0" w:line="240" w:lineRule="auto"/>
        <w:ind w:right="-1" w:firstLine="567"/>
        <w:jc w:val="both"/>
        <w:rPr>
          <w:rFonts w:cstheme="minorHAnsi"/>
        </w:rPr>
      </w:pPr>
      <w:r w:rsidRPr="00536624">
        <w:rPr>
          <w:rFonts w:cstheme="minorHAnsi"/>
        </w:rPr>
        <w:t>Atsižvelgiant į tai, kas nustatyta, Teismas padarė išvadą, jog kišimasis į pareiškėjo religijos laisvę negali būti laikomas būtinu demokratinėje visuomenėje, kas lemia Konvencijos 9 straipsnio pažeidimą.</w:t>
      </w:r>
    </w:p>
    <w:p w14:paraId="6DD09675" w14:textId="77777777" w:rsidR="00351D5B" w:rsidRPr="00536624" w:rsidRDefault="00351D5B" w:rsidP="00351D5B">
      <w:pPr>
        <w:spacing w:after="0" w:line="240" w:lineRule="auto"/>
        <w:ind w:right="-1" w:firstLine="567"/>
        <w:jc w:val="both"/>
        <w:rPr>
          <w:rFonts w:cstheme="minorHAnsi"/>
        </w:rPr>
      </w:pPr>
    </w:p>
    <w:p w14:paraId="762905CE" w14:textId="77777777" w:rsidR="00351D5B" w:rsidRPr="00536624" w:rsidRDefault="00351D5B" w:rsidP="00351D5B">
      <w:pPr>
        <w:spacing w:after="0" w:line="240" w:lineRule="auto"/>
        <w:ind w:right="-1" w:firstLine="567"/>
        <w:jc w:val="both"/>
        <w:rPr>
          <w:rFonts w:cstheme="minorHAnsi"/>
        </w:rPr>
      </w:pPr>
      <w:r w:rsidRPr="00536624">
        <w:rPr>
          <w:rFonts w:cstheme="minorHAnsi"/>
        </w:rPr>
        <w:t>Išvada: nustatytas Konvencijos 9 straipsnio pažeidimas (vienbalsiai).</w:t>
      </w:r>
    </w:p>
    <w:p w14:paraId="1ED0A10E" w14:textId="77777777" w:rsidR="00351D5B" w:rsidRPr="00536624" w:rsidRDefault="00351D5B" w:rsidP="00351D5B">
      <w:pPr>
        <w:spacing w:after="0" w:line="240" w:lineRule="auto"/>
        <w:ind w:right="-1" w:firstLine="567"/>
        <w:jc w:val="both"/>
        <w:rPr>
          <w:rFonts w:cstheme="minorHAnsi"/>
        </w:rPr>
      </w:pPr>
      <w:r w:rsidRPr="00536624">
        <w:rPr>
          <w:rFonts w:cstheme="minorHAnsi"/>
        </w:rPr>
        <w:t>41 straipsnis: priteista 2600 Eur neturtinės žalos atlyginimo.</w:t>
      </w:r>
    </w:p>
    <w:p w14:paraId="44BF5B3F" w14:textId="77777777" w:rsidR="00351D5B" w:rsidRPr="00536624" w:rsidRDefault="00267716" w:rsidP="00351D5B">
      <w:pPr>
        <w:spacing w:after="0" w:line="240" w:lineRule="auto"/>
        <w:ind w:right="-1" w:firstLine="567"/>
        <w:jc w:val="both"/>
        <w:rPr>
          <w:rStyle w:val="Hipersaitas"/>
          <w:rFonts w:cstheme="minorHAnsi"/>
        </w:rPr>
      </w:pPr>
      <w:hyperlink r:id="rId21" w:history="1">
        <w:r w:rsidR="00351D5B" w:rsidRPr="00536624">
          <w:rPr>
            <w:rStyle w:val="Hipersaitas"/>
            <w:rFonts w:cstheme="minorHAnsi"/>
          </w:rPr>
          <w:t>Prieiga internete</w:t>
        </w:r>
      </w:hyperlink>
    </w:p>
    <w:p w14:paraId="041F69AA" w14:textId="77777777" w:rsidR="00351D5B" w:rsidRPr="00536624" w:rsidRDefault="00351D5B" w:rsidP="00351D5B">
      <w:pPr>
        <w:shd w:val="clear" w:color="auto" w:fill="FFFFFF"/>
        <w:spacing w:after="0" w:line="240" w:lineRule="auto"/>
        <w:ind w:right="-1"/>
        <w:jc w:val="center"/>
        <w:rPr>
          <w:rFonts w:eastAsia="Times New Roman" w:cstheme="minorHAnsi"/>
          <w:b/>
          <w:color w:val="323E4F"/>
        </w:rPr>
      </w:pPr>
    </w:p>
    <w:p w14:paraId="64AE3D22" w14:textId="77777777" w:rsidR="00351D5B" w:rsidRPr="00536624" w:rsidRDefault="00351D5B" w:rsidP="00001422">
      <w:pPr>
        <w:pStyle w:val="Antrat1"/>
        <w:rPr>
          <w:rFonts w:eastAsia="Times New Roman"/>
        </w:rPr>
      </w:pPr>
      <w:bookmarkStart w:id="30" w:name="_Toc52184444"/>
      <w:r w:rsidRPr="00536624">
        <w:rPr>
          <w:rFonts w:eastAsia="Times New Roman"/>
        </w:rPr>
        <w:t>SAVIRAIŠKOS LAISVĖ (10 straipsnis)</w:t>
      </w:r>
      <w:bookmarkEnd w:id="30"/>
    </w:p>
    <w:p w14:paraId="0B6C1B58"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4D61B837"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Didžiosios kolegijos 2020 m. sausio 20 d. sprendimas byloje</w:t>
      </w:r>
    </w:p>
    <w:p w14:paraId="38E4E721" w14:textId="77777777" w:rsidR="00351D5B" w:rsidRPr="00536624" w:rsidRDefault="00351D5B" w:rsidP="003460C1">
      <w:pPr>
        <w:pStyle w:val="Antrat2"/>
        <w:jc w:val="center"/>
        <w:rPr>
          <w:i/>
        </w:rPr>
      </w:pPr>
      <w:bookmarkStart w:id="31" w:name="_Toc52184445"/>
      <w:proofErr w:type="spellStart"/>
      <w:r w:rsidRPr="00536624">
        <w:rPr>
          <w:i/>
        </w:rPr>
        <w:t>Magyar</w:t>
      </w:r>
      <w:proofErr w:type="spellEnd"/>
      <w:r w:rsidRPr="00536624">
        <w:rPr>
          <w:i/>
        </w:rPr>
        <w:t xml:space="preserve"> </w:t>
      </w:r>
      <w:proofErr w:type="spellStart"/>
      <w:r w:rsidRPr="00536624">
        <w:rPr>
          <w:i/>
        </w:rPr>
        <w:t>Kétfarku</w:t>
      </w:r>
      <w:proofErr w:type="spellEnd"/>
      <w:r w:rsidRPr="00536624">
        <w:rPr>
          <w:i/>
        </w:rPr>
        <w:t xml:space="preserve">́ </w:t>
      </w:r>
      <w:proofErr w:type="spellStart"/>
      <w:r w:rsidRPr="00536624">
        <w:rPr>
          <w:i/>
        </w:rPr>
        <w:t>Kutya</w:t>
      </w:r>
      <w:proofErr w:type="spellEnd"/>
      <w:r w:rsidRPr="00536624">
        <w:rPr>
          <w:i/>
        </w:rPr>
        <w:t xml:space="preserve"> </w:t>
      </w:r>
      <w:proofErr w:type="spellStart"/>
      <w:r w:rsidRPr="00536624">
        <w:rPr>
          <w:i/>
        </w:rPr>
        <w:t>Párt</w:t>
      </w:r>
      <w:proofErr w:type="spellEnd"/>
      <w:r w:rsidRPr="00536624">
        <w:rPr>
          <w:i/>
        </w:rPr>
        <w:t xml:space="preserve"> prieš Vengriją</w:t>
      </w:r>
      <w:bookmarkEnd w:id="31"/>
    </w:p>
    <w:p w14:paraId="4083ABF7"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201/17, svarbos lygis – skelbta rinkinyje)</w:t>
      </w:r>
    </w:p>
    <w:p w14:paraId="1668E771"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5183A32E" w14:textId="77777777" w:rsidR="00351D5B" w:rsidRPr="00536624" w:rsidRDefault="00351D5B" w:rsidP="005D6E08">
      <w:pPr>
        <w:pStyle w:val="Antrat3"/>
        <w:ind w:firstLine="567"/>
        <w:jc w:val="both"/>
      </w:pPr>
      <w:bookmarkStart w:id="32" w:name="_Toc52184446"/>
      <w:r w:rsidRPr="00536624">
        <w:t>Dėl nepakankamo teisinio reguliavimo skiriant baudą politinei partijai už mobiliosios programėlės, leidžiančios balsavimo dalyviams anonimiškai dalintis biuletenio nuotraukomis, prieinamumą</w:t>
      </w:r>
      <w:bookmarkEnd w:id="32"/>
    </w:p>
    <w:p w14:paraId="42180057"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2DD1E146"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67BC01D6"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29F4C8E"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roofErr w:type="spellStart"/>
      <w:r w:rsidRPr="00536624">
        <w:rPr>
          <w:rFonts w:eastAsia="Times New Roman" w:cstheme="minorHAnsi"/>
          <w:i/>
          <w:color w:val="000000"/>
        </w:rPr>
        <w:t>Magyar</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Kétfarku</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Kutya</w:t>
      </w:r>
      <w:proofErr w:type="spellEnd"/>
      <w:r w:rsidRPr="00536624">
        <w:rPr>
          <w:rFonts w:eastAsia="Times New Roman" w:cstheme="minorHAnsi"/>
          <w:i/>
          <w:color w:val="000000"/>
        </w:rPr>
        <w:t xml:space="preserve"> </w:t>
      </w:r>
      <w:proofErr w:type="spellStart"/>
      <w:r w:rsidRPr="00536624">
        <w:rPr>
          <w:rFonts w:eastAsia="Times New Roman" w:cstheme="minorHAnsi"/>
          <w:i/>
          <w:color w:val="000000"/>
        </w:rPr>
        <w:t>Párt</w:t>
      </w:r>
      <w:proofErr w:type="spellEnd"/>
      <w:r w:rsidRPr="00536624">
        <w:rPr>
          <w:rFonts w:eastAsia="Times New Roman" w:cstheme="minorHAnsi"/>
          <w:color w:val="000000"/>
        </w:rPr>
        <w:t xml:space="preserve"> (toliau – MKKP) yra aktyvi politinė partija Vengrijoje, kuri savo politines pažiūras reiškia daugiausiai per satyrą, nukreiptą į politinį elitą ir valstybės politiką, per kampanijas už akivaizdžiai absurdiškus dalykus, per gatvės meną, pasirodymus ir kt. Vengrijos ministrui pirmininkui 2016 metais paskelbus referendumą, susijusį su Europos Sąjungos Teisingumo ir vidaus reikalų tarybos planu perkelti 120 000 prieglobsčio prašytojų iš Italijos ir Graikijos į kitas Europos Sąjungos valstybes, MKKP ėmė raginti savo rėmėjus dalyvauti referendume, bet sugadinti referendumo biuletenius, siekiant aktyviu būdu aiškiai išreikšti nepritarimą valstybės veiksmams. MKKP taip pat išleido mobiliąją programėlę, leidžiančią vartotojams įkelti ir dalintis su kitais vartotojais savo referendumo biuletenio arba veiklos, kuria jie užsiėmė užuot ėję balsuoti, nuotraukomis. 2016 m. rugsėjo 29 d. fizinis asmuo pareiškė skundą dėl minėtos mobiliosios programėlės Nacionalinei rinkimų komisijai, kuri pripažino, kad mobilioji programėlė pažeidė rinkimų sąžiningumo, balsavimo slaptumo ir naudojimosi savo teisėmis jų tikslais principus. Referendumo metu minėta mobilioji programėlė buvo pasiekiama, balsavimo dieną buvo pasidalinta 3 894 nuotraukomis, nėra duomenų, kad nuotraukos buvo pasiekiamos ne programėlėje. 2016 m. spalio 3 d. tas pats privatus asmuo pateikė naują skundą Nacionalinei rinkimų komisijai dėl programėlės aktyvavimo referendumo dieną. Nacionalinė rinkimų komisija 2016 m. spalio 7 d. pakartojo anksčiau padarytas savo išvadas, papildomai nurodydama, kad raginimas balsavimo dalyviams skelbti biuletenių nuotraukas bei sugadinti biuletenius galėjo turėti poveikį balsavimo dalyviams, kas laikytina neteisėta kampanija, ir skyrė MKKP baudą (apie 2 700 EUR). </w:t>
      </w:r>
    </w:p>
    <w:p w14:paraId="2448A6F3" w14:textId="5CD937E2"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Ginčui persikėlus į nacionalinius teismus, Nacionalinės rinkimų komisijos sprendimai palikti galioti, o </w:t>
      </w:r>
      <w:r w:rsidR="00263E9F">
        <w:rPr>
          <w:rFonts w:eastAsia="Times New Roman" w:cstheme="minorHAnsi"/>
          <w:color w:val="000000"/>
        </w:rPr>
        <w:t>šalies Konstitucinis T</w:t>
      </w:r>
      <w:r w:rsidRPr="00536624">
        <w:rPr>
          <w:rFonts w:eastAsia="Times New Roman" w:cstheme="minorHAnsi"/>
          <w:color w:val="000000"/>
        </w:rPr>
        <w:t xml:space="preserve">eismas atsisakė priimti MKKP skundą dėl teismų sprendimų. </w:t>
      </w:r>
    </w:p>
    <w:p w14:paraId="12397712" w14:textId="3B26A5F0" w:rsidR="00351D5B" w:rsidRPr="00536624" w:rsidRDefault="00263E9F" w:rsidP="00351D5B">
      <w:pPr>
        <w:spacing w:after="0" w:line="240" w:lineRule="auto"/>
        <w:ind w:right="-1" w:firstLine="567"/>
        <w:jc w:val="both"/>
        <w:rPr>
          <w:rFonts w:cstheme="minorHAnsi"/>
        </w:rPr>
      </w:pPr>
      <w:r>
        <w:rPr>
          <w:rFonts w:cstheme="minorHAnsi"/>
        </w:rPr>
        <w:t>MKKP kreipėsi į Teismą skųsdama</w:t>
      </w:r>
      <w:r w:rsidR="00351D5B" w:rsidRPr="00536624">
        <w:rPr>
          <w:rFonts w:cstheme="minorHAnsi"/>
        </w:rPr>
        <w:t>si tuo, jog sprendimai, draudžiantys ir baudžiantys už mobiliosios programėlės, leidžiančios rinkėjams anonimiškai paskelbti savo balsavimo biuletenių nuotraukas, veikimą, pažeidė jos Konvencijos 10 straipsnyje įtvirtintą teisę į žodžio laisvę.</w:t>
      </w:r>
    </w:p>
    <w:p w14:paraId="4199A942" w14:textId="77777777" w:rsidR="00351D5B" w:rsidRPr="00536624" w:rsidRDefault="00351D5B" w:rsidP="00351D5B">
      <w:pPr>
        <w:spacing w:after="0" w:line="240" w:lineRule="auto"/>
        <w:ind w:right="-1" w:firstLine="567"/>
        <w:jc w:val="both"/>
        <w:rPr>
          <w:rFonts w:cstheme="minorHAnsi"/>
        </w:rPr>
      </w:pPr>
    </w:p>
    <w:p w14:paraId="3EFF19E6"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5B916CF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50EF6FB"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Teismui nekilo abejonių, jog nuotraukų (įskaitant biuletenių nuotraukas) paskelbimas yra saviraiškos laisvės išraiška. Nors šiuo atveju pareiškėjas nėra ginčo nuotraukų autorius, pažymėta, kad Konvencijos 10 straipsnio nuostatos taikytinos ne tik informacijos turiniui, bet ir jos sklaidos priemonėms, nes bet kokie ribojimai, pritaikyti sklaidos priemonėms, neabejotinai varžo teisę gauti ir skleisti informaciją. Pareiškėjo mobilioji programėlė laikytina priemone balsavimo dalyviams skleisti savo politinę nuomonę, t. y. naudotis saviraiškos laisve. Be to, Teismas pritarė nacionalinių institucijų vertinimui, kad pareiškėjas siekė ne tik sukurti forumą balsavimo dalyviams reikšti savo nuomonę, bet ir siekė pats perduoti politinę žinutę (tai patvirtina mobiliosios programėlės aktyvavimo laikas ir pavadinimas – „Išmeskit negaliojantį biuletenį“, angl. „</w:t>
      </w:r>
      <w:proofErr w:type="spellStart"/>
      <w:r w:rsidRPr="00536624">
        <w:rPr>
          <w:rFonts w:eastAsia="Times New Roman" w:cstheme="minorHAnsi"/>
          <w:color w:val="000000"/>
        </w:rPr>
        <w:t>Cast</w:t>
      </w:r>
      <w:proofErr w:type="spellEnd"/>
      <w:r w:rsidRPr="00536624">
        <w:rPr>
          <w:rFonts w:eastAsia="Times New Roman" w:cstheme="minorHAnsi"/>
          <w:color w:val="000000"/>
        </w:rPr>
        <w:t xml:space="preserve"> </w:t>
      </w:r>
      <w:proofErr w:type="spellStart"/>
      <w:r w:rsidRPr="00536624">
        <w:rPr>
          <w:rFonts w:eastAsia="Times New Roman" w:cstheme="minorHAnsi"/>
          <w:color w:val="000000"/>
        </w:rPr>
        <w:t>an</w:t>
      </w:r>
      <w:proofErr w:type="spellEnd"/>
      <w:r w:rsidRPr="00536624">
        <w:rPr>
          <w:rFonts w:eastAsia="Times New Roman" w:cstheme="minorHAnsi"/>
          <w:color w:val="000000"/>
        </w:rPr>
        <w:t xml:space="preserve"> </w:t>
      </w:r>
      <w:proofErr w:type="spellStart"/>
      <w:r w:rsidRPr="00536624">
        <w:rPr>
          <w:rFonts w:eastAsia="Times New Roman" w:cstheme="minorHAnsi"/>
          <w:color w:val="000000"/>
        </w:rPr>
        <w:t>invalid</w:t>
      </w:r>
      <w:proofErr w:type="spellEnd"/>
      <w:r w:rsidRPr="00536624">
        <w:rPr>
          <w:rFonts w:eastAsia="Times New Roman" w:cstheme="minorHAnsi"/>
          <w:color w:val="000000"/>
        </w:rPr>
        <w:t xml:space="preserve"> </w:t>
      </w:r>
      <w:proofErr w:type="spellStart"/>
      <w:r w:rsidRPr="00536624">
        <w:rPr>
          <w:rFonts w:eastAsia="Times New Roman" w:cstheme="minorHAnsi"/>
          <w:color w:val="000000"/>
        </w:rPr>
        <w:t>ballot</w:t>
      </w:r>
      <w:proofErr w:type="spellEnd"/>
      <w:r w:rsidRPr="00536624">
        <w:rPr>
          <w:rFonts w:eastAsia="Times New Roman" w:cstheme="minorHAnsi"/>
          <w:color w:val="000000"/>
        </w:rPr>
        <w:t>”).</w:t>
      </w:r>
    </w:p>
    <w:p w14:paraId="5A25E98D" w14:textId="1BE756CF" w:rsidR="00351D5B" w:rsidRPr="00536624" w:rsidRDefault="00263E9F"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Pr>
          <w:rFonts w:eastAsia="Times New Roman" w:cstheme="minorHAnsi"/>
          <w:color w:val="000000"/>
        </w:rPr>
        <w:t>Teismas pabrėždamas</w:t>
      </w:r>
      <w:r w:rsidR="00351D5B" w:rsidRPr="00536624">
        <w:rPr>
          <w:rFonts w:eastAsia="Times New Roman" w:cstheme="minorHAnsi"/>
          <w:color w:val="000000"/>
        </w:rPr>
        <w:t xml:space="preserve"> ypatingą informacijos sklaidos prieš rinkimus ir politinių partijų saviraiškos laisvės svarbą (nepagrįsti ribojimai gali pakenkti atviriems politiniams debatams, balsavimo proceso teisėtumui ir rezultatams bei, galiausiai, piliečių pasitikėjimu</w:t>
      </w:r>
      <w:r w:rsidR="00351D5B" w:rsidRPr="00536624">
        <w:rPr>
          <w:rFonts w:eastAsia="Times New Roman" w:cstheme="minorHAnsi"/>
        </w:rPr>
        <w:t>i</w:t>
      </w:r>
      <w:r w:rsidR="00351D5B" w:rsidRPr="00536624">
        <w:rPr>
          <w:rFonts w:eastAsia="Times New Roman" w:cstheme="minorHAnsi"/>
          <w:color w:val="000000"/>
        </w:rPr>
        <w:t xml:space="preserve"> valstybės institucijomis bei </w:t>
      </w:r>
      <w:r w:rsidR="00351D5B" w:rsidRPr="00536624">
        <w:rPr>
          <w:rFonts w:eastAsia="Times New Roman" w:cstheme="minorHAnsi"/>
        </w:rPr>
        <w:t>šių institucijų</w:t>
      </w:r>
      <w:r w:rsidR="00351D5B" w:rsidRPr="00536624">
        <w:rPr>
          <w:rFonts w:eastAsia="Times New Roman" w:cstheme="minorHAnsi"/>
          <w:color w:val="000000"/>
        </w:rPr>
        <w:t xml:space="preserve"> pasišventimu teisinei valstybei), pažymėjo, kad rinkimų kontekste Teismo pateikti išaiškinimai </w:t>
      </w:r>
      <w:proofErr w:type="spellStart"/>
      <w:r w:rsidR="00351D5B" w:rsidRPr="00536624">
        <w:rPr>
          <w:rFonts w:eastAsia="Times New Roman" w:cstheme="minorHAnsi"/>
          <w:i/>
          <w:color w:val="000000"/>
        </w:rPr>
        <w:t>mutatis</w:t>
      </w:r>
      <w:proofErr w:type="spellEnd"/>
      <w:r w:rsidR="00351D5B" w:rsidRPr="00536624">
        <w:rPr>
          <w:rFonts w:eastAsia="Times New Roman" w:cstheme="minorHAnsi"/>
          <w:i/>
          <w:color w:val="000000"/>
        </w:rPr>
        <w:t xml:space="preserve"> </w:t>
      </w:r>
      <w:proofErr w:type="spellStart"/>
      <w:r w:rsidR="00351D5B" w:rsidRPr="00536624">
        <w:rPr>
          <w:rFonts w:eastAsia="Times New Roman" w:cstheme="minorHAnsi"/>
          <w:i/>
          <w:color w:val="000000"/>
        </w:rPr>
        <w:lastRenderedPageBreak/>
        <w:t>mutandis</w:t>
      </w:r>
      <w:proofErr w:type="spellEnd"/>
      <w:r w:rsidR="00351D5B" w:rsidRPr="00536624">
        <w:rPr>
          <w:rFonts w:eastAsia="Times New Roman" w:cstheme="minorHAnsi"/>
          <w:color w:val="000000"/>
        </w:rPr>
        <w:t xml:space="preserve"> taikytini ir referendumų, skirtų identifikuoti elektorato valią dėl visuomenei svarbių klausimų, atveju. Saviraiškos laisvės ribojimams taikytina griežta kontrolė, kuri savaime apima vertinimą, ar teisinis reglamentavimas, kuriuo remdamasi valstybės institucija apribojo politinės partijos saviraiškos laisvę, savo efektu buvo pakankamai numatomas, užkertant kelią bet kokiai savivalei jį taikant. Nagrinėjamu atveju pagrindinis klausimas yra tai, ar, nacionaliniame reglamentavime nesant imperatyvių nuostatų, tiesiogiai reguliuojančių biuletenių nuotraukas ir šių nuotraukų paskelbimą anonimiškai mobiliojoje programėlėje, siekiant jas paskleisti balsavimui dar vykstant, pareiškėjas žinojo arba turėjo žinoti (prireikus, gavęs atitinkamą teisinę pagalbą), jog jo pasirinktas elgesio modelis pažeis teisės normas, reglamentuojančias rinkimų proced</w:t>
      </w:r>
      <w:r>
        <w:rPr>
          <w:rFonts w:eastAsia="Times New Roman" w:cstheme="minorHAnsi"/>
          <w:color w:val="000000"/>
        </w:rPr>
        <w:t>ūrą. Šiuo atveju Konstitucinis T</w:t>
      </w:r>
      <w:r w:rsidR="00351D5B" w:rsidRPr="00536624">
        <w:rPr>
          <w:rFonts w:eastAsia="Times New Roman" w:cstheme="minorHAnsi"/>
          <w:color w:val="000000"/>
        </w:rPr>
        <w:t xml:space="preserve">eismas dar 2008 metų sprendime atkreipė dėmesį į naudojimosi savo teisėmis jų tikslais principo (Rinkimų procedūros įstatymo 2 str. 1 d. e p.) abstraktumą, pažymėdamas, kad Rinkimų procedūros įstatyme neapibrėžta, kas laikytina šio principo pažeidimu, nepateikti jokie kriterijai ar pavyzdžiai, ir būtent Nacionalinei rinkimų komisijai bei, galiausiai, teismams teko pareiga nuspręsti, atsižvelgiant į konkrečios bylos aplinkybes, ar tam tikras elgesio modelis pažeidė šį principą. </w:t>
      </w:r>
    </w:p>
    <w:p w14:paraId="7B7DB57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Teismo įsitikinimu, situacija, kai teismui tenka aiškinti teisės aktuose įtvirtintus principus, savaime nėra nesuderinama su reikalavimu teisę formuoti pakankamai tiksliais terminais. Kita vertus, nacionalinis teisinis reguliavimas, taikytinas nagrinėjamai bylai, sudarė sąlygas apriboti su balsavimu susijusią saviraišką, vertinant kiekvieną atvejį atskirai, suteikiant labai plačią </w:t>
      </w:r>
      <w:proofErr w:type="spellStart"/>
      <w:r w:rsidRPr="00536624">
        <w:rPr>
          <w:rFonts w:eastAsia="Times New Roman" w:cstheme="minorHAnsi"/>
          <w:color w:val="000000"/>
        </w:rPr>
        <w:t>diskreciją</w:t>
      </w:r>
      <w:proofErr w:type="spellEnd"/>
      <w:r w:rsidRPr="00536624">
        <w:rPr>
          <w:rFonts w:eastAsia="Times New Roman" w:cstheme="minorHAnsi"/>
          <w:color w:val="000000"/>
        </w:rPr>
        <w:t xml:space="preserve"> rinkimus prižiūrinčioms institucijoms bei teismams. Teismas atkreipė dėmesį į tai, jog Nacionalinė rinkimų komisija ir nacionaliniai teismai nesut</w:t>
      </w:r>
      <w:r w:rsidRPr="00536624">
        <w:rPr>
          <w:rFonts w:eastAsia="Times New Roman" w:cstheme="minorHAnsi"/>
        </w:rPr>
        <w:t>arė dėl</w:t>
      </w:r>
      <w:r w:rsidRPr="00536624">
        <w:rPr>
          <w:rFonts w:eastAsia="Times New Roman" w:cstheme="minorHAnsi"/>
          <w:color w:val="000000"/>
        </w:rPr>
        <w:t xml:space="preserve"> bendrųjų rinkimų procedūrų principų taikym</w:t>
      </w:r>
      <w:r w:rsidRPr="00536624">
        <w:rPr>
          <w:rFonts w:eastAsia="Times New Roman" w:cstheme="minorHAnsi"/>
        </w:rPr>
        <w:t>o</w:t>
      </w:r>
      <w:r w:rsidRPr="00536624">
        <w:rPr>
          <w:rFonts w:eastAsia="Times New Roman" w:cstheme="minorHAnsi"/>
          <w:color w:val="000000"/>
        </w:rPr>
        <w:t xml:space="preserve"> nagrinėjamoje byloje, pavyzdžiui, dėl balsavimo slaptumo principo pažeidimo (mobilioji programėlė nesudarė galimybės susieti konkretų biuletenį su balsavimo dalyviu), be to, liko neaišku, kaip pritaikytas ribojimas, grindžiamas naudojimosi savo teisėmis jų tikslais principu, buvo susijęs su konkrečiomis neigiamomis pasekmėmis (numanomomis ar realiomis). Dėl Nacionalinės rinkimų komisijos rekomendacijų, kuriose nurodyta, jog biuletenių fotografavimas nėra suderinamas su minėtu principu, Teismas pažymėjo, kad šios rekomendacijos tik išreiškė Nacionalinės rinkimų komisijos poziciją dėl bendrųjų rinkimų procedūrų principų ir nebuvo privalomos, nacionalinis teismas dėl Nacionalinės rinkimų komisijos rekomendacijų teisinės galios pasisakė tik po referendumo. Teismas padarė išvadą, jog gan didelis neaiškumas dėl ginčui aktualios teisės normos tikėtino efekto ją taikant viršijo tai, kas priimtina pagal Konvencijos 10 straipsnio 2 dalį.</w:t>
      </w:r>
    </w:p>
    <w:p w14:paraId="20A87280" w14:textId="77777777" w:rsidR="00351D5B" w:rsidRPr="00536624" w:rsidRDefault="00351D5B" w:rsidP="00351D5B">
      <w:pPr>
        <w:spacing w:after="0" w:line="240" w:lineRule="auto"/>
        <w:ind w:right="-1" w:firstLine="567"/>
        <w:jc w:val="both"/>
        <w:rPr>
          <w:rFonts w:cstheme="minorHAnsi"/>
        </w:rPr>
      </w:pPr>
    </w:p>
    <w:p w14:paraId="793D562A"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nustatytas Konvencijos 10 straipsnio pažeidimas (16 prieš 1). </w:t>
      </w:r>
    </w:p>
    <w:p w14:paraId="411F75E7" w14:textId="77777777" w:rsidR="00351D5B" w:rsidRPr="00536624" w:rsidRDefault="00351D5B" w:rsidP="00351D5B">
      <w:pPr>
        <w:spacing w:after="0" w:line="240" w:lineRule="auto"/>
        <w:ind w:right="-1" w:firstLine="567"/>
        <w:jc w:val="both"/>
        <w:rPr>
          <w:rFonts w:cstheme="minorHAnsi"/>
          <w:color w:val="000000"/>
        </w:rPr>
      </w:pPr>
      <w:r w:rsidRPr="00536624">
        <w:rPr>
          <w:rFonts w:cstheme="minorHAnsi"/>
        </w:rPr>
        <w:t xml:space="preserve">41 straipsnis: </w:t>
      </w:r>
      <w:r w:rsidRPr="00536624">
        <w:rPr>
          <w:rStyle w:val="sfbbfee58"/>
          <w:rFonts w:cstheme="minorHAnsi"/>
          <w:color w:val="000000"/>
        </w:rPr>
        <w:t>pareiškėjui priteista 330 EUR turtinei žalai atlyginti</w:t>
      </w:r>
      <w:r w:rsidRPr="00536624">
        <w:rPr>
          <w:rFonts w:cstheme="minorHAnsi"/>
          <w:color w:val="000000"/>
        </w:rPr>
        <w:t>.</w:t>
      </w:r>
    </w:p>
    <w:p w14:paraId="6EFB0771" w14:textId="77777777" w:rsidR="00351D5B" w:rsidRPr="00536624" w:rsidRDefault="00351D5B" w:rsidP="00351D5B">
      <w:pPr>
        <w:spacing w:after="0" w:line="240" w:lineRule="auto"/>
        <w:ind w:right="-1" w:firstLine="567"/>
        <w:jc w:val="both"/>
        <w:rPr>
          <w:rFonts w:cstheme="minorHAnsi"/>
          <w:color w:val="000000"/>
        </w:rPr>
      </w:pPr>
      <w:r w:rsidRPr="00536624">
        <w:rPr>
          <w:rFonts w:cstheme="minorHAnsi"/>
          <w:color w:val="000000"/>
        </w:rPr>
        <w:t>(pateikta atskiroji nuomonė)</w:t>
      </w:r>
    </w:p>
    <w:p w14:paraId="2F5962CD" w14:textId="77777777" w:rsidR="00351D5B" w:rsidRPr="00536624" w:rsidRDefault="00267716" w:rsidP="00351D5B">
      <w:pPr>
        <w:spacing w:after="0" w:line="240" w:lineRule="auto"/>
        <w:ind w:right="-1" w:firstLine="567"/>
        <w:jc w:val="both"/>
        <w:rPr>
          <w:rFonts w:cstheme="minorHAnsi"/>
        </w:rPr>
      </w:pPr>
      <w:hyperlink r:id="rId22" w:anchor="{&quot;fulltext&quot;:[&quot;201/17&quot;],&quot;itemid&quot;:[&quot;001-200657&quot;]}" w:history="1">
        <w:r w:rsidR="00351D5B" w:rsidRPr="00536624">
          <w:rPr>
            <w:rFonts w:cstheme="minorHAnsi"/>
            <w:color w:val="0000FF"/>
            <w:u w:val="single"/>
          </w:rPr>
          <w:t>Prieiga internete</w:t>
        </w:r>
      </w:hyperlink>
    </w:p>
    <w:p w14:paraId="133029EB"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39C4CEE0"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sausio 20 d. sprendimas byloje</w:t>
      </w:r>
    </w:p>
    <w:p w14:paraId="4E412B2F" w14:textId="77777777" w:rsidR="00351D5B" w:rsidRPr="00536624" w:rsidRDefault="00351D5B" w:rsidP="00351D5B">
      <w:pPr>
        <w:pStyle w:val="Antrat2"/>
        <w:ind w:right="-1" w:firstLine="0"/>
        <w:jc w:val="center"/>
        <w:rPr>
          <w:rFonts w:eastAsia="Calibri" w:cstheme="minorHAnsi"/>
          <w:i/>
        </w:rPr>
      </w:pPr>
      <w:bookmarkStart w:id="33" w:name="_Toc52184447"/>
      <w:r w:rsidRPr="00536624">
        <w:rPr>
          <w:rFonts w:eastAsia="Calibri" w:cstheme="minorHAnsi"/>
          <w:i/>
        </w:rPr>
        <w:t xml:space="preserve">Studio </w:t>
      </w:r>
      <w:proofErr w:type="spellStart"/>
      <w:r w:rsidRPr="00536624">
        <w:rPr>
          <w:rFonts w:eastAsia="Calibri" w:cstheme="minorHAnsi"/>
          <w:i/>
        </w:rPr>
        <w:t>Monitori</w:t>
      </w:r>
      <w:proofErr w:type="spellEnd"/>
      <w:r w:rsidRPr="00536624">
        <w:rPr>
          <w:rFonts w:eastAsia="Calibri" w:cstheme="minorHAnsi"/>
          <w:i/>
        </w:rPr>
        <w:t xml:space="preserve"> </w:t>
      </w:r>
      <w:proofErr w:type="spellStart"/>
      <w:r w:rsidRPr="00536624">
        <w:rPr>
          <w:rFonts w:eastAsia="Calibri" w:cstheme="minorHAnsi"/>
          <w:i/>
        </w:rPr>
        <w:t>and</w:t>
      </w:r>
      <w:proofErr w:type="spellEnd"/>
      <w:r w:rsidRPr="00536624">
        <w:rPr>
          <w:rFonts w:eastAsia="Calibri" w:cstheme="minorHAnsi"/>
          <w:i/>
        </w:rPr>
        <w:t xml:space="preserve"> </w:t>
      </w:r>
      <w:proofErr w:type="spellStart"/>
      <w:r w:rsidRPr="00536624">
        <w:rPr>
          <w:rFonts w:eastAsia="Calibri" w:cstheme="minorHAnsi"/>
          <w:i/>
        </w:rPr>
        <w:t>Others</w:t>
      </w:r>
      <w:proofErr w:type="spellEnd"/>
      <w:r w:rsidRPr="00536624">
        <w:rPr>
          <w:rFonts w:eastAsia="Calibri" w:cstheme="minorHAnsi"/>
          <w:i/>
        </w:rPr>
        <w:t xml:space="preserve"> prieš Gruziją</w:t>
      </w:r>
      <w:bookmarkEnd w:id="33"/>
    </w:p>
    <w:p w14:paraId="352292AD"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44920/09 ir 8942/10</w:t>
      </w:r>
      <w:r w:rsidRPr="00536624">
        <w:rPr>
          <w:rFonts w:cstheme="minorHAnsi"/>
          <w:b/>
        </w:rPr>
        <w:t>, svarbos lygis – 2</w:t>
      </w:r>
      <w:r w:rsidRPr="00536624">
        <w:rPr>
          <w:rFonts w:eastAsia="Times New Roman" w:cstheme="minorHAnsi"/>
          <w:b/>
        </w:rPr>
        <w:t>)</w:t>
      </w:r>
    </w:p>
    <w:p w14:paraId="0A61C035" w14:textId="77777777" w:rsidR="00351D5B" w:rsidRPr="00536624" w:rsidRDefault="00351D5B" w:rsidP="00351D5B">
      <w:pPr>
        <w:shd w:val="clear" w:color="auto" w:fill="FFFFFF"/>
        <w:spacing w:after="0" w:line="240" w:lineRule="auto"/>
        <w:ind w:right="-1" w:firstLine="567"/>
        <w:jc w:val="center"/>
        <w:rPr>
          <w:rFonts w:eastAsia="Times New Roman" w:cstheme="minorHAnsi"/>
          <w:b/>
          <w:bCs/>
          <w:color w:val="000000"/>
        </w:rPr>
      </w:pPr>
    </w:p>
    <w:p w14:paraId="63175E0F"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34" w:name="_Toc52184448"/>
      <w:r w:rsidRPr="00536624">
        <w:rPr>
          <w:rFonts w:eastAsia="Calibri" w:cstheme="minorHAnsi"/>
          <w:bCs/>
          <w:iCs/>
          <w:szCs w:val="22"/>
        </w:rPr>
        <w:t>Dėl teismo teisės atmesti nemotyvuotus pareiškėjų prašymus susipažinti su nesusijusių trečiųjų asmenų baudžiamosios bylomis, nepripažįstant tai saviraiškos laisvės įgyvendinimu</w:t>
      </w:r>
      <w:bookmarkEnd w:id="34"/>
    </w:p>
    <w:p w14:paraId="1280571E" w14:textId="77777777" w:rsidR="00351D5B" w:rsidRPr="00536624" w:rsidRDefault="00351D5B" w:rsidP="00351D5B">
      <w:pPr>
        <w:spacing w:after="0" w:line="240" w:lineRule="auto"/>
        <w:ind w:right="-1" w:firstLine="567"/>
        <w:rPr>
          <w:rFonts w:cstheme="minorHAnsi"/>
        </w:rPr>
      </w:pPr>
    </w:p>
    <w:p w14:paraId="609AE26D"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30ED6935" w14:textId="77777777" w:rsidR="00351D5B" w:rsidRPr="00536624" w:rsidRDefault="00351D5B" w:rsidP="00351D5B">
      <w:pPr>
        <w:spacing w:after="0" w:line="240" w:lineRule="auto"/>
        <w:ind w:right="-1" w:firstLine="567"/>
        <w:rPr>
          <w:rFonts w:cstheme="minorHAnsi"/>
        </w:rPr>
      </w:pPr>
    </w:p>
    <w:p w14:paraId="1EE9E887" w14:textId="77777777" w:rsidR="00351D5B" w:rsidRPr="00536624" w:rsidRDefault="00351D5B" w:rsidP="00351D5B">
      <w:pPr>
        <w:spacing w:after="0" w:line="240" w:lineRule="auto"/>
        <w:ind w:right="-1" w:firstLine="567"/>
        <w:jc w:val="both"/>
        <w:rPr>
          <w:rFonts w:cstheme="minorHAnsi"/>
        </w:rPr>
      </w:pPr>
      <w:r w:rsidRPr="00536624">
        <w:rPr>
          <w:rFonts w:cstheme="minorHAnsi"/>
        </w:rPr>
        <w:t>Pirmajam pareiškėjui (nevyriausybinė organizacija, atliekanti žurnalistinius tyrimus visuomenei svarbiais klausimais) nacionalinis teismas nesuteikė prieigos prie su juo nesusijusios baudžiamosios bylos medžiagos. Antrajam pareiškėjui (žurnalistė, priklausanti minėtai nevyriausybinei organizacijai) taip pat nebuvo suteikta prieiga prie baudžiamosios bylos duomenų, kadangi tam reikalingas leidimas. Jai buvo pasiūlyta patikslinti prašymą, nurodant kokiam tikslui reikalingi duomenys, tačiau ji to nepadarė. Trečiasis pareiškėjas (advokatas) nesėkmingai prašė sulaikymo nutarčių šešiose su juo visiškai nesusijusiose bylose.</w:t>
      </w:r>
    </w:p>
    <w:p w14:paraId="0E8A4775" w14:textId="77777777" w:rsidR="00351D5B" w:rsidRPr="00536624" w:rsidRDefault="00351D5B" w:rsidP="00351D5B">
      <w:pPr>
        <w:spacing w:after="0" w:line="240" w:lineRule="auto"/>
        <w:ind w:right="-1" w:firstLine="567"/>
        <w:jc w:val="both"/>
        <w:rPr>
          <w:rFonts w:cstheme="minorHAnsi"/>
        </w:rPr>
      </w:pPr>
      <w:r w:rsidRPr="00536624">
        <w:rPr>
          <w:rFonts w:cstheme="minorHAnsi"/>
        </w:rPr>
        <w:t>Pareiškėjai kreipėsi į Teismą tvirtindami, kad nacionalinės teisminės institucijos nesuteikė jiems galimybės susipažinti su visuotinės svarbos informacija, taip pažeidžiant Konvencijos 10 straipsnį.</w:t>
      </w:r>
    </w:p>
    <w:p w14:paraId="69E400C2" w14:textId="77777777" w:rsidR="00351D5B" w:rsidRPr="00536624" w:rsidRDefault="00351D5B" w:rsidP="00351D5B">
      <w:pPr>
        <w:spacing w:after="0" w:line="240" w:lineRule="auto"/>
        <w:ind w:right="-1" w:firstLine="567"/>
        <w:jc w:val="both"/>
        <w:rPr>
          <w:rFonts w:cstheme="minorHAnsi"/>
        </w:rPr>
      </w:pPr>
    </w:p>
    <w:p w14:paraId="6AFE0796"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2E760206" w14:textId="77777777" w:rsidR="00351D5B" w:rsidRPr="00536624" w:rsidRDefault="00351D5B" w:rsidP="00351D5B">
      <w:pPr>
        <w:spacing w:after="0" w:line="240" w:lineRule="auto"/>
        <w:ind w:right="-1" w:firstLine="567"/>
        <w:jc w:val="both"/>
        <w:rPr>
          <w:rFonts w:cstheme="minorHAnsi"/>
        </w:rPr>
      </w:pPr>
    </w:p>
    <w:p w14:paraId="003875D4" w14:textId="77777777" w:rsidR="00351D5B" w:rsidRPr="00536624" w:rsidRDefault="00351D5B" w:rsidP="00351D5B">
      <w:pPr>
        <w:spacing w:after="0" w:line="240" w:lineRule="auto"/>
        <w:ind w:right="-1" w:firstLine="567"/>
        <w:jc w:val="both"/>
        <w:rPr>
          <w:rFonts w:cstheme="minorHAnsi"/>
        </w:rPr>
      </w:pPr>
      <w:r w:rsidRPr="00536624">
        <w:rPr>
          <w:rFonts w:cstheme="minorHAnsi"/>
        </w:rPr>
        <w:t>Nagrinėdamas sujungtus pareiškėjų skundus, Teismas, pasirėmęs ankstesne savo praktika, priminė, jog norint nustatyti, ar Konvencijos 10 straipsnis taikomas valstybės valdžios institucijos atsisakymui atskleisti informaciją, reikia atsižvelgti į šiuos kriterijus: 1) informacijos prašymo tikslą; 2) ieškomos informacijos pobūdį; 3) ypatingą informacijos ieškotojo vaidmenį „gaunant ir perduodant“ tokius duomenis visuomenei; 3) informacijos parengimą ir prieinamumą.</w:t>
      </w:r>
    </w:p>
    <w:p w14:paraId="110CEABC" w14:textId="77777777" w:rsidR="00351D5B" w:rsidRPr="00536624" w:rsidRDefault="00351D5B" w:rsidP="00351D5B">
      <w:pPr>
        <w:spacing w:after="0" w:line="240" w:lineRule="auto"/>
        <w:ind w:right="-1" w:firstLine="567"/>
        <w:jc w:val="both"/>
        <w:rPr>
          <w:rFonts w:cstheme="minorHAnsi"/>
        </w:rPr>
      </w:pPr>
      <w:r w:rsidRPr="00536624">
        <w:rPr>
          <w:rFonts w:cstheme="minorHAnsi"/>
        </w:rPr>
        <w:t>Teismo vertinimu, pirmojo ir antrojo pareiškėjų žurnalistinis vaidmuo neginčijamai buvo suderinamas su teisės prašyti susipažinti su valstybės saugoma informacija taikymo sritimi, tačiau jų prašymo suteikti informaciją tikslas neatitiko pirmojo kriterijaus pagal Konvencijos 10 straipsnį, t. y. jie apskirtai tokio tikslo nenurodė, taip pat nepaaiškino, kodėl tie dokumentai buvo reikalingi norint pasinaudoti laisve gauti ir perduoti informaciją kitiems. Pareiškėjai taip pat nepasinaudojo suteikta galimybe teikti patikslintą prašymą, o vietoj to nutarė kreiptis į teismą dėl jų teisės neribotai naudotis valstybės saugoma informacija pažeidimo. Teismas pabrėžė, jog Konvencijos 10 straipsnis nesuteikia asmenims absoliučios teisės susipažinti su valstybės saugoma informacija.</w:t>
      </w:r>
    </w:p>
    <w:p w14:paraId="3795E1ED"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atkreipė dėmesį, jog net ir negavę prašytos informacijos, pirmasis ir antrasis pareiškėjai galėjo tęsti žurnalistinį tyrimą ir paskelbti jo rezultatus visuomenei. Prieiga prie baudžiamosios bylos medžiagos nebuvo veiksminga priemonė siekiant tinkamai naudotis saviraiškos laisve. Antrasis pareiškėjas nacionaliniame teisme netgi pripažino, jog jai, kaip žurnalistei, nereikėjo tos informacijos siekiant vykdyti žurnalistinę veiklą. Ji tik siekė, kad teismas pripažintų jos nevaržomą teisę turėti prieigą prie valstybės saugomos viešos informacijos. </w:t>
      </w:r>
    </w:p>
    <w:p w14:paraId="0C0908B7" w14:textId="77777777" w:rsidR="00351D5B" w:rsidRPr="00536624" w:rsidRDefault="00351D5B" w:rsidP="00351D5B">
      <w:pPr>
        <w:spacing w:after="0" w:line="240" w:lineRule="auto"/>
        <w:ind w:right="-1" w:firstLine="567"/>
        <w:jc w:val="both"/>
        <w:rPr>
          <w:rFonts w:cstheme="minorHAnsi"/>
        </w:rPr>
      </w:pPr>
      <w:r w:rsidRPr="00536624">
        <w:rPr>
          <w:rFonts w:cstheme="minorHAnsi"/>
        </w:rPr>
        <w:t>Trečiasis pareiškėjas teismui taip pat nebuvo paaiškinęs savo prašymo gauti atitinkamų teismo dokumentų kopijų tikslo. Esant tokioms aplinkybėms, prašoma informacija neturėjo jokios reikšmės įgyvendinant jo saviraiškos laisvę. Teismas pažymėjo, jog šiuo atveju nebuvo aišku, kaip trečiojo pareiškėjo vaidmuo visuomenėje galėjo atitikti Konvencijos 10 straipsnyje nurodytą kriterijų: jis nebuvo nei žurnalistas, nei viešojo sektoriaus priežiūros atstovas. Teismo proceso metu jis nepaaiškino, kaip jis, gavęs šešių su juo visiškai nesusijusių sulaikymo nutarčių baudžiamosiose bylose kopijas, galėjo įgyvendinti visuomenės teisę į naujienas ar palengvinti viešosios informacijos sklaidą. Pareiškėjas tik apsiribojo teiginiu, kad priimti teismų sprendimai buvo susiję su svarbiomis baudžiamosiomis bylomis, susijusiomis su aukšto rango valstybės pareigūnais, įtariamais padarius korupcinius nusikaltimus. Teismo vertinimu, vien to, kad minėtose bylose kaltinamieji buvo gerai žinomi visuomenės veikėjai, nepakanka, kad pagal Konvencijos 10 straipsnį būtų galima atskleisti visas teismo nutarčių, susijusių su vykstančiu baudžiamuoju procesu, kopijas, įskaitant tas dalis, kurios pagal nacionalinę teisę nelaikomos vieša informacija tretiesiems asmenimis. Teismas vertino, jog šiuo atveju visuomenės susidomėjimas vargiai atitiko privačių asmenų smalsumą.</w:t>
      </w:r>
    </w:p>
    <w:p w14:paraId="51A00256" w14:textId="77777777" w:rsidR="00351D5B" w:rsidRPr="00536624" w:rsidRDefault="00351D5B" w:rsidP="00351D5B">
      <w:pPr>
        <w:spacing w:after="0" w:line="240" w:lineRule="auto"/>
        <w:ind w:right="-1"/>
        <w:jc w:val="both"/>
        <w:rPr>
          <w:rFonts w:cstheme="minorHAnsi"/>
        </w:rPr>
      </w:pPr>
    </w:p>
    <w:p w14:paraId="02867D61"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Konvencijos 10 straipsnio pažeidimas nenustatytas (vienbalsiai). </w:t>
      </w:r>
    </w:p>
    <w:p w14:paraId="7C84A76F" w14:textId="3C441B65" w:rsidR="00351D5B" w:rsidRDefault="00267716" w:rsidP="00351D5B">
      <w:pPr>
        <w:spacing w:after="0" w:line="240" w:lineRule="auto"/>
        <w:ind w:right="-1" w:firstLine="567"/>
        <w:jc w:val="both"/>
        <w:rPr>
          <w:rStyle w:val="Hipersaitas"/>
          <w:rFonts w:cstheme="minorHAnsi"/>
        </w:rPr>
      </w:pPr>
      <w:hyperlink r:id="rId23" w:history="1">
        <w:r w:rsidR="00351D5B" w:rsidRPr="00536624">
          <w:rPr>
            <w:rStyle w:val="Hipersaitas"/>
            <w:rFonts w:cstheme="minorHAnsi"/>
          </w:rPr>
          <w:t>Prieiga internete</w:t>
        </w:r>
      </w:hyperlink>
    </w:p>
    <w:p w14:paraId="1BDBBEF2" w14:textId="77777777" w:rsidR="00800BC9" w:rsidRDefault="00800BC9" w:rsidP="00351D5B">
      <w:pPr>
        <w:spacing w:after="0" w:line="240" w:lineRule="auto"/>
        <w:ind w:right="-1" w:firstLine="567"/>
        <w:jc w:val="both"/>
        <w:rPr>
          <w:rStyle w:val="Hipersaitas"/>
          <w:rFonts w:cstheme="minorHAnsi"/>
        </w:rPr>
      </w:pPr>
    </w:p>
    <w:p w14:paraId="62A6A6D2" w14:textId="77777777" w:rsidR="00800BC9" w:rsidRPr="00800BC9" w:rsidRDefault="00800BC9" w:rsidP="00800BC9">
      <w:pPr>
        <w:shd w:val="clear" w:color="auto" w:fill="FFFFFF"/>
        <w:spacing w:after="0" w:line="240" w:lineRule="auto"/>
        <w:ind w:right="-1"/>
        <w:jc w:val="center"/>
        <w:rPr>
          <w:rFonts w:eastAsia="Times New Roman" w:cstheme="minorHAnsi"/>
          <w:b/>
        </w:rPr>
      </w:pPr>
      <w:r w:rsidRPr="00800BC9">
        <w:rPr>
          <w:rFonts w:eastAsia="Times New Roman" w:cstheme="minorHAnsi"/>
          <w:b/>
        </w:rPr>
        <w:t>Europos Žmogaus Teisių Teismo 2020 m. kovo 3 d. sprendimas byloje</w:t>
      </w:r>
    </w:p>
    <w:p w14:paraId="2E5AC299" w14:textId="77777777" w:rsidR="00800BC9" w:rsidRPr="00800BC9" w:rsidRDefault="00800BC9" w:rsidP="00800BC9">
      <w:pPr>
        <w:pStyle w:val="Antrat2"/>
        <w:ind w:right="-1" w:firstLine="0"/>
        <w:jc w:val="center"/>
        <w:rPr>
          <w:rFonts w:eastAsia="Calibri" w:cstheme="minorHAnsi"/>
          <w:i/>
        </w:rPr>
      </w:pPr>
      <w:bookmarkStart w:id="35" w:name="_Toc52184449"/>
      <w:r w:rsidRPr="00800BC9">
        <w:rPr>
          <w:rFonts w:eastAsia="Calibri" w:cstheme="minorHAnsi"/>
          <w:i/>
        </w:rPr>
        <w:t>Demokratijos ir teisinės valstybės centras prieš Ukrainą</w:t>
      </w:r>
      <w:bookmarkEnd w:id="35"/>
    </w:p>
    <w:p w14:paraId="6AE8282B" w14:textId="77777777" w:rsidR="00800BC9" w:rsidRPr="00800BC9" w:rsidRDefault="00800BC9" w:rsidP="00800BC9">
      <w:pPr>
        <w:shd w:val="clear" w:color="auto" w:fill="FFFFFF"/>
        <w:spacing w:after="0" w:line="240" w:lineRule="auto"/>
        <w:ind w:right="-1"/>
        <w:jc w:val="center"/>
        <w:rPr>
          <w:rFonts w:eastAsia="Times New Roman" w:cstheme="minorHAnsi"/>
          <w:b/>
        </w:rPr>
      </w:pPr>
      <w:r w:rsidRPr="00800BC9">
        <w:rPr>
          <w:rFonts w:eastAsia="Times New Roman" w:cstheme="minorHAnsi"/>
          <w:b/>
        </w:rPr>
        <w:t xml:space="preserve">(pareiškimo Nr. </w:t>
      </w:r>
      <w:hyperlink r:id="rId24" w:anchor="{&quot;appno&quot;:[&quot;75865/11&quot;]}" w:tgtFrame="_blank" w:history="1">
        <w:r w:rsidRPr="00800BC9">
          <w:rPr>
            <w:b/>
          </w:rPr>
          <w:t>75865/11</w:t>
        </w:r>
      </w:hyperlink>
      <w:r w:rsidRPr="00800BC9">
        <w:rPr>
          <w:rFonts w:eastAsia="Times New Roman" w:cstheme="minorHAnsi"/>
          <w:b/>
        </w:rPr>
        <w:t>, svarbos lygis – 2)</w:t>
      </w:r>
    </w:p>
    <w:p w14:paraId="6759E97D" w14:textId="77777777" w:rsidR="00800BC9" w:rsidRPr="00800BC9" w:rsidRDefault="00800BC9" w:rsidP="00800BC9">
      <w:pPr>
        <w:pStyle w:val="prastasis1"/>
        <w:tabs>
          <w:tab w:val="left" w:pos="851"/>
        </w:tabs>
        <w:spacing w:after="0" w:line="240" w:lineRule="auto"/>
        <w:jc w:val="both"/>
        <w:rPr>
          <w:rFonts w:asciiTheme="minorHAnsi" w:hAnsiTheme="minorHAnsi" w:cstheme="minorHAnsi"/>
          <w:color w:val="000000"/>
        </w:rPr>
      </w:pPr>
    </w:p>
    <w:p w14:paraId="7F5F4197" w14:textId="77777777" w:rsidR="00800BC9" w:rsidRPr="00800BC9" w:rsidRDefault="00800BC9" w:rsidP="00800BC9">
      <w:pPr>
        <w:pStyle w:val="Antrat3"/>
        <w:spacing w:before="0" w:line="240" w:lineRule="auto"/>
        <w:ind w:right="-1" w:firstLine="567"/>
        <w:jc w:val="both"/>
        <w:rPr>
          <w:rFonts w:eastAsia="Calibri" w:cstheme="minorHAnsi"/>
          <w:bCs/>
          <w:iCs/>
          <w:szCs w:val="22"/>
        </w:rPr>
      </w:pPr>
      <w:bookmarkStart w:id="36" w:name="_Toc52184450"/>
      <w:r w:rsidRPr="00800BC9">
        <w:rPr>
          <w:rFonts w:eastAsia="Calibri" w:cstheme="minorHAnsi"/>
          <w:bCs/>
          <w:iCs/>
          <w:szCs w:val="22"/>
        </w:rPr>
        <w:t>Dėl atsisakymo pateikti nevyriausybinei organizacijai teisinių nuomonių, į kurias atsižvelgta nagrinėjant konstitucinę bylą, kopijas</w:t>
      </w:r>
      <w:bookmarkEnd w:id="36"/>
    </w:p>
    <w:p w14:paraId="04642E40" w14:textId="77777777" w:rsidR="00800BC9" w:rsidRPr="00800BC9" w:rsidRDefault="00800BC9" w:rsidP="00800BC9">
      <w:pPr>
        <w:pStyle w:val="prastasis1"/>
        <w:tabs>
          <w:tab w:val="left" w:pos="851"/>
        </w:tabs>
        <w:spacing w:after="0" w:line="240" w:lineRule="auto"/>
        <w:jc w:val="both"/>
        <w:rPr>
          <w:rFonts w:asciiTheme="minorHAnsi" w:hAnsiTheme="minorHAnsi" w:cstheme="minorHAnsi"/>
          <w:color w:val="000000"/>
        </w:rPr>
      </w:pPr>
    </w:p>
    <w:p w14:paraId="124F1269" w14:textId="77777777" w:rsidR="00800BC9" w:rsidRPr="00800BC9" w:rsidRDefault="00800BC9" w:rsidP="00800BC9">
      <w:pPr>
        <w:pStyle w:val="prastasis1"/>
        <w:tabs>
          <w:tab w:val="left" w:pos="851"/>
        </w:tabs>
        <w:spacing w:after="0" w:line="240" w:lineRule="auto"/>
        <w:jc w:val="center"/>
        <w:rPr>
          <w:rFonts w:asciiTheme="minorHAnsi" w:hAnsiTheme="minorHAnsi" w:cstheme="minorHAnsi"/>
          <w:b/>
          <w:color w:val="000000"/>
        </w:rPr>
      </w:pPr>
      <w:r w:rsidRPr="00800BC9">
        <w:rPr>
          <w:rFonts w:asciiTheme="minorHAnsi" w:hAnsiTheme="minorHAnsi" w:cstheme="minorHAnsi"/>
          <w:b/>
          <w:color w:val="000000"/>
        </w:rPr>
        <w:t>Faktinės aplinkybės</w:t>
      </w:r>
    </w:p>
    <w:p w14:paraId="7E8212B8" w14:textId="77777777" w:rsidR="00800BC9" w:rsidRPr="00800BC9" w:rsidRDefault="00800BC9" w:rsidP="00800BC9">
      <w:pPr>
        <w:pStyle w:val="prastasis1"/>
        <w:tabs>
          <w:tab w:val="left" w:pos="851"/>
        </w:tabs>
        <w:spacing w:after="0" w:line="240" w:lineRule="auto"/>
        <w:jc w:val="center"/>
        <w:rPr>
          <w:rFonts w:asciiTheme="minorHAnsi" w:hAnsiTheme="minorHAnsi" w:cstheme="minorHAnsi"/>
          <w:b/>
          <w:color w:val="000000"/>
        </w:rPr>
      </w:pPr>
    </w:p>
    <w:p w14:paraId="5F150F1C" w14:textId="77777777" w:rsidR="00800BC9" w:rsidRPr="00800BC9" w:rsidRDefault="00800BC9" w:rsidP="00800BC9">
      <w:pPr>
        <w:spacing w:after="0" w:line="240" w:lineRule="auto"/>
        <w:ind w:right="-1" w:firstLine="567"/>
        <w:jc w:val="both"/>
        <w:rPr>
          <w:rFonts w:cstheme="minorHAnsi"/>
        </w:rPr>
      </w:pPr>
      <w:r w:rsidRPr="00800BC9">
        <w:rPr>
          <w:rFonts w:cstheme="minorHAnsi"/>
        </w:rPr>
        <w:t xml:space="preserve">Nagrinėjant konstitucinę bylą dėl parlamentinės valdančiosios daugumos sudarymo tvarkos, teisėjas pranešėjas kreipėsi į teisės srities švietimo įstaigas ir aukščiausiuosius valstybės pareigūnus, prašydamas pateikti teisinę nuomonę dėl sprendžiamo klausimo. Po teismo sprendimo priėmimo, pareiškėjas (nevyriausybinė organizacija) kreipėsi į Konstitucinį Teismą, prašydamas pateikti gautų teisinių nuomonių kopijas, tačiau nepaaiškino tokio prašymo tikslo. Konstitucinis Teismas atsisakymą tenkinti šį prašymą grindė dviem argumentais: 1) pateiktos nuomonės gali būti prieinamos tik ginčo šalims (Konstitucinio teismo taisyklės); 2) švietimo įstaigos yra prašomos informacijos savininkės ir būtent šios įstaigos turi teisę suteikti </w:t>
      </w:r>
      <w:r w:rsidRPr="00800BC9">
        <w:rPr>
          <w:rFonts w:cstheme="minorHAnsi"/>
        </w:rPr>
        <w:lastRenderedPageBreak/>
        <w:t>prieigą prie minėtų nuomonių (Informacijos įstatymas). Pareiškėjas, nesutikdamas su tokiu atsisakymu, kreipėsi į teismą, tačiau apygardos administracinis teismas nepriėmė jo skundo, tvirtindamas, jog neturi kompetencijos kilusiam ginčui nagrinėti, kadangi šiame kontekste Konstitucinis Teismas nelaikytinas viešojo administravimo subjektu (ginčijami veiksmai susiję su bylos nagrinėjimu). Apeliacinis administracinis teismas ir Vyriausiasis administracinis teismas sutiko su pirmosios instancijos teismo pozicija. Po trejų metų pasikeitus teisiniam reglamentavimui, minėtos teisinės nuomonės buvo paskelbtos Konstitucinio Teismo interneto svetainėje, kartu su kita išnagrinėtos bylos medžiaga.</w:t>
      </w:r>
    </w:p>
    <w:p w14:paraId="45F17F29" w14:textId="77777777" w:rsidR="00800BC9" w:rsidRPr="00800BC9" w:rsidRDefault="00800BC9" w:rsidP="00800BC9">
      <w:pPr>
        <w:spacing w:after="0" w:line="240" w:lineRule="auto"/>
        <w:ind w:right="-1" w:firstLine="567"/>
        <w:jc w:val="both"/>
        <w:rPr>
          <w:rFonts w:cstheme="minorHAnsi"/>
        </w:rPr>
      </w:pPr>
      <w:r w:rsidRPr="00800BC9">
        <w:rPr>
          <w:rFonts w:cstheme="minorHAnsi"/>
        </w:rPr>
        <w:t>Demokratijos ir teisinės valstybės centras prieš Ukrainą kreipėsi į Teismą skųsdamasis tuo, jog valdžios institucijų sprendimas neleisti jam susipažinti su jo prašoma informacija, pažeidė jo teises pagal Konvencijos 10 straipsnį.</w:t>
      </w:r>
    </w:p>
    <w:p w14:paraId="5CA82780" w14:textId="77777777" w:rsidR="00800BC9" w:rsidRPr="00C86E5D" w:rsidRDefault="00800BC9" w:rsidP="00C86E5D">
      <w:pPr>
        <w:spacing w:after="0" w:line="240" w:lineRule="auto"/>
        <w:ind w:right="-1" w:firstLine="567"/>
        <w:jc w:val="both"/>
        <w:rPr>
          <w:rFonts w:cstheme="minorHAnsi"/>
        </w:rPr>
      </w:pPr>
    </w:p>
    <w:p w14:paraId="3A005103" w14:textId="77777777" w:rsidR="00800BC9" w:rsidRPr="00C86E5D" w:rsidRDefault="00800BC9" w:rsidP="00C86E5D">
      <w:pPr>
        <w:shd w:val="clear" w:color="auto" w:fill="FFFFFF"/>
        <w:spacing w:after="0" w:line="240" w:lineRule="auto"/>
        <w:ind w:right="-1"/>
        <w:jc w:val="center"/>
        <w:rPr>
          <w:rFonts w:eastAsia="Times New Roman" w:cstheme="minorHAnsi"/>
          <w:b/>
          <w:bCs/>
          <w:color w:val="000000"/>
        </w:rPr>
      </w:pPr>
      <w:r w:rsidRPr="00C86E5D">
        <w:rPr>
          <w:rFonts w:eastAsia="Times New Roman" w:cstheme="minorHAnsi"/>
          <w:b/>
          <w:bCs/>
          <w:color w:val="000000"/>
        </w:rPr>
        <w:t>Neoficiali Teismo sprendimo apžvalga</w:t>
      </w:r>
    </w:p>
    <w:p w14:paraId="3930AF11" w14:textId="77777777" w:rsidR="00800BC9" w:rsidRPr="00C86E5D" w:rsidRDefault="00800BC9" w:rsidP="00C86E5D">
      <w:pPr>
        <w:spacing w:after="0" w:line="240" w:lineRule="auto"/>
        <w:ind w:right="-1" w:firstLine="567"/>
        <w:jc w:val="both"/>
        <w:rPr>
          <w:rFonts w:cstheme="minorHAnsi"/>
        </w:rPr>
      </w:pPr>
    </w:p>
    <w:p w14:paraId="1BB8E3E3" w14:textId="77777777" w:rsidR="00800BC9" w:rsidRPr="00800BC9" w:rsidRDefault="00800BC9" w:rsidP="00800BC9">
      <w:pPr>
        <w:spacing w:after="0" w:line="240" w:lineRule="auto"/>
        <w:ind w:right="-1" w:firstLine="567"/>
        <w:jc w:val="both"/>
        <w:rPr>
          <w:rFonts w:cstheme="minorHAnsi"/>
        </w:rPr>
      </w:pPr>
      <w:r w:rsidRPr="00800BC9">
        <w:rPr>
          <w:rFonts w:cstheme="minorHAnsi"/>
        </w:rPr>
        <w:t xml:space="preserve">Teismas pirmiausiai pažymėjo, jog pagrindiniai principai sprendžiant, ar atsisakymas suteikti prieigą prie informacijos lemia saviraiškos laisvės pažeidimą, buvo apibendrinti 2016 m. lapkričio 8 d. sprendime </w:t>
      </w:r>
      <w:proofErr w:type="spellStart"/>
      <w:r w:rsidRPr="00800BC9">
        <w:rPr>
          <w:rFonts w:cstheme="minorHAnsi"/>
        </w:rPr>
        <w:t>Magyar</w:t>
      </w:r>
      <w:proofErr w:type="spellEnd"/>
      <w:r w:rsidRPr="00800BC9">
        <w:rPr>
          <w:rFonts w:cstheme="minorHAnsi"/>
        </w:rPr>
        <w:t xml:space="preserve"> Helsinki </w:t>
      </w:r>
      <w:proofErr w:type="spellStart"/>
      <w:r w:rsidRPr="00800BC9">
        <w:rPr>
          <w:rFonts w:cstheme="minorHAnsi"/>
        </w:rPr>
        <w:t>Bizottsag</w:t>
      </w:r>
      <w:proofErr w:type="spellEnd"/>
      <w:r w:rsidRPr="00800BC9">
        <w:rPr>
          <w:rFonts w:cstheme="minorHAnsi"/>
        </w:rPr>
        <w:t xml:space="preserve"> (pareiškimo Nr. 18030/11). Teisė gauti informaciją gali atsirasti tada, kai: pirma, kai teismas nurodo suteikti informaciją; antra, kai prieiga prie informacijos yra būtina siekiant pasinaudoti saviraiškos laisve ir jos nesuteikimas lemia šios laisvės suvaržymą. Tai, ar atsisakymas suteikti prieigą prie informacijos yra saviraiškos laisvės suvaržymas, vertinama kiekvienu individualiu atveju.</w:t>
      </w:r>
    </w:p>
    <w:p w14:paraId="1F0B4499" w14:textId="77777777" w:rsidR="00800BC9" w:rsidRPr="00800BC9" w:rsidRDefault="00800BC9" w:rsidP="00800BC9">
      <w:pPr>
        <w:spacing w:after="0" w:line="240" w:lineRule="auto"/>
        <w:ind w:right="-1" w:firstLine="567"/>
        <w:jc w:val="both"/>
        <w:rPr>
          <w:rFonts w:cstheme="minorHAnsi"/>
        </w:rPr>
      </w:pPr>
      <w:r w:rsidRPr="00800BC9">
        <w:rPr>
          <w:rFonts w:cstheme="minorHAnsi"/>
        </w:rPr>
        <w:t>Nagrinėjamų aplinkybių kontekste Teismas pastebėjo, jog pareiškėjo prašoma informacija jau buvo parengta. Byloje nėra ginčo, kad pareiškėjas viešojoje erdvėje veikia kaip kontrolės funkciją vykdanti organizacija (</w:t>
      </w:r>
      <w:proofErr w:type="spellStart"/>
      <w:r w:rsidRPr="00800BC9">
        <w:rPr>
          <w:rFonts w:cstheme="minorHAnsi"/>
        </w:rPr>
        <w:t>watchdog</w:t>
      </w:r>
      <w:proofErr w:type="spellEnd"/>
      <w:r w:rsidRPr="00800BC9">
        <w:rPr>
          <w:rFonts w:cstheme="minorHAnsi"/>
        </w:rPr>
        <w:t>). Prašomos pateikti teisinės nuomonės tenkino viešojo intereso testą, t. y. buvo susijusios su konstitucine problema, turinčia didelę reikšmę politikoje. Vertindamas egzistuojantį viešąjį interesą, Teismas akcentavo, jog šiuo atveju Konstitucinis Teismas pakeitė ankstesnę savo poziciją dėl svarbaus konstitucinio klausimo – koalicijų formavimo; bylos nagrinėjimo metu Konstitucinis Teismas kreipėsi dėl teisinių nuomonių pateikimo, tačiau, nors sprendime rėmėsi šiomis nuomonėmis, jų nepacitavo ir net neapibendrino. Skaidrumas gali padėti užtikrinti konstitucinės kontrolės jurisdikcijos teisėtumą.</w:t>
      </w:r>
    </w:p>
    <w:p w14:paraId="0E535FDA" w14:textId="77777777" w:rsidR="00800BC9" w:rsidRPr="00800BC9" w:rsidRDefault="00800BC9" w:rsidP="00800BC9">
      <w:pPr>
        <w:spacing w:after="0" w:line="240" w:lineRule="auto"/>
        <w:ind w:right="-1" w:firstLine="567"/>
        <w:jc w:val="both"/>
        <w:rPr>
          <w:rFonts w:cstheme="minorHAnsi"/>
        </w:rPr>
      </w:pPr>
      <w:r w:rsidRPr="00800BC9">
        <w:rPr>
          <w:rFonts w:cstheme="minorHAnsi"/>
        </w:rPr>
        <w:t>Teismas pažymėjo, jog siekiant pagrįsti, kad prašoma informacija yra būtina saviraiškos laisvei įgyvendinti, nepakanka abstrakčiai nurodyti, kad tam tikra informacija savaime turi būti prieinama. Pareiškėjas prašymą suteikti informaciją iš esmės grindė tuo, kad jam reikėjo žinoti taisykles, susijusias su valdančiosios daugumos formavimu tam, kad jis galėtų parengti kokybišką analizę ir efektyviai veikti siekdamas atitinkamo teisinio reguliavimo žiniasklaidos teisės srityje. Pareiškėjas nepateikė jokių duomenų, iš kurių būtų galima spręsti, jog ginčui aktualiu laikotarpiu jis turėjo atitinkamos patirties ar užsiėmė veikla, susijusia su konstitucinėmis problemomis (neskaitant susijusiųjų su žiniasklaida ir informacija) arba specializavosi aktualiose konstitucinės teisės srityse. Šiuo atveju Konstituciniame Teisme nagrinėta byla nebuvo susijusi su žiniasklaida ar saviraiškos laisve.</w:t>
      </w:r>
    </w:p>
    <w:p w14:paraId="2F90DF80" w14:textId="77777777" w:rsidR="00800BC9" w:rsidRPr="00800BC9" w:rsidRDefault="00800BC9" w:rsidP="00800BC9">
      <w:pPr>
        <w:spacing w:after="0" w:line="240" w:lineRule="auto"/>
        <w:ind w:right="-1" w:firstLine="567"/>
        <w:jc w:val="both"/>
        <w:rPr>
          <w:rFonts w:eastAsia="Calibri" w:cstheme="minorHAnsi"/>
          <w:color w:val="000000"/>
        </w:rPr>
      </w:pPr>
      <w:r w:rsidRPr="00800BC9">
        <w:rPr>
          <w:rFonts w:cstheme="minorHAnsi"/>
        </w:rPr>
        <w:t xml:space="preserve">Teismas atkreipė dėmesį ir į tai, kad pareiškėjas dėl prašomų teisinių nuomonių pateikimo galėjo kreiptis į jas parengusias švietimo įstaigas, tačiau jis nepasinaudojo šia galimybe ir nepaaiškino tokio savo pasirinkimo (palyginimui žr. 2020 m. sausio 30 d. sprendimą Studio </w:t>
      </w:r>
      <w:proofErr w:type="spellStart"/>
      <w:r w:rsidRPr="00800BC9">
        <w:rPr>
          <w:rFonts w:cstheme="minorHAnsi"/>
        </w:rPr>
        <w:t>Monitori</w:t>
      </w:r>
      <w:proofErr w:type="spellEnd"/>
      <w:r w:rsidRPr="00800BC9">
        <w:rPr>
          <w:rFonts w:cstheme="minorHAnsi"/>
        </w:rPr>
        <w:t xml:space="preserve"> ir kiti prieš Gruziją (pareiškimų Nr. 44920/09 ir 8942/10)). Teismas pabrėžė, kad Konvencija neleidžia reikšti </w:t>
      </w:r>
      <w:proofErr w:type="spellStart"/>
      <w:r w:rsidRPr="00800BC9">
        <w:rPr>
          <w:rFonts w:cstheme="minorHAnsi"/>
        </w:rPr>
        <w:t>actio</w:t>
      </w:r>
      <w:proofErr w:type="spellEnd"/>
      <w:r w:rsidRPr="00800BC9">
        <w:rPr>
          <w:rFonts w:cstheme="minorHAnsi"/>
        </w:rPr>
        <w:t xml:space="preserve"> </w:t>
      </w:r>
      <w:proofErr w:type="spellStart"/>
      <w:r w:rsidRPr="00800BC9">
        <w:rPr>
          <w:rFonts w:cstheme="minorHAnsi"/>
        </w:rPr>
        <w:t>popularis</w:t>
      </w:r>
      <w:proofErr w:type="spellEnd"/>
      <w:r w:rsidRPr="00800BC9">
        <w:rPr>
          <w:rFonts w:cstheme="minorHAnsi"/>
        </w:rPr>
        <w:t>, todėl pareiškėjas negali remtis abstrakčiu Konvencijos 10 straipsnyje įtvirtintos teisės ribojimu, minėta nuostata nesuteikia asmeniui teisės gauti valstybės turimą informaciją. Nagrinėjamu atveju nenustatytas nei teismo nurodymas suteikti informaciją, nei būtinybė pareiškėjui gauti prieigą prie pageidaujamos medžiagos kaip prielaida</w:t>
      </w:r>
      <w:r w:rsidRPr="00800BC9">
        <w:rPr>
          <w:rFonts w:eastAsia="Calibri" w:cstheme="minorHAnsi"/>
          <w:color w:val="000000"/>
        </w:rPr>
        <w:t xml:space="preserve"> pasinaudoti saviraiškos laisve bei, konkrečiai, laisve gauti ir skleisti informaciją. Taigi, pateiktas pareiškimas nepriimtinas, kaip </w:t>
      </w:r>
      <w:proofErr w:type="spellStart"/>
      <w:r w:rsidRPr="00800BC9">
        <w:rPr>
          <w:rFonts w:eastAsia="Calibri" w:cstheme="minorHAnsi"/>
          <w:i/>
          <w:color w:val="000000"/>
        </w:rPr>
        <w:t>ratione</w:t>
      </w:r>
      <w:proofErr w:type="spellEnd"/>
      <w:r w:rsidRPr="00800BC9">
        <w:rPr>
          <w:rFonts w:eastAsia="Calibri" w:cstheme="minorHAnsi"/>
          <w:i/>
          <w:color w:val="000000"/>
        </w:rPr>
        <w:t xml:space="preserve"> </w:t>
      </w:r>
      <w:proofErr w:type="spellStart"/>
      <w:r w:rsidRPr="00800BC9">
        <w:rPr>
          <w:rFonts w:eastAsia="Calibri" w:cstheme="minorHAnsi"/>
          <w:i/>
          <w:color w:val="000000"/>
        </w:rPr>
        <w:t>materiae</w:t>
      </w:r>
      <w:proofErr w:type="spellEnd"/>
      <w:r w:rsidRPr="00800BC9">
        <w:rPr>
          <w:rFonts w:eastAsia="Calibri" w:cstheme="minorHAnsi"/>
          <w:color w:val="000000"/>
        </w:rPr>
        <w:t xml:space="preserve"> nesuderinamas su Konvencijos nuostatomis (35 str. 3 d. a) p. ir 4 d.).</w:t>
      </w:r>
    </w:p>
    <w:p w14:paraId="63DAF8E8" w14:textId="77777777" w:rsidR="00800BC9" w:rsidRPr="00800BC9" w:rsidRDefault="00800BC9" w:rsidP="00800BC9">
      <w:pPr>
        <w:pStyle w:val="prastasis1"/>
        <w:spacing w:after="0" w:line="240" w:lineRule="auto"/>
        <w:ind w:firstLine="709"/>
        <w:jc w:val="both"/>
        <w:rPr>
          <w:rFonts w:asciiTheme="minorHAnsi" w:hAnsiTheme="minorHAnsi" w:cstheme="minorHAnsi"/>
        </w:rPr>
      </w:pPr>
    </w:p>
    <w:p w14:paraId="628BBA17" w14:textId="77777777" w:rsidR="00800BC9" w:rsidRPr="00800BC9" w:rsidRDefault="00800BC9" w:rsidP="00800BC9">
      <w:pPr>
        <w:pStyle w:val="prastasis1"/>
        <w:spacing w:after="0" w:line="240" w:lineRule="auto"/>
        <w:ind w:firstLine="709"/>
        <w:jc w:val="both"/>
        <w:rPr>
          <w:rFonts w:asciiTheme="minorHAnsi" w:hAnsiTheme="minorHAnsi" w:cstheme="minorHAnsi"/>
          <w:color w:val="000000"/>
        </w:rPr>
      </w:pPr>
      <w:r w:rsidRPr="00800BC9">
        <w:rPr>
          <w:rFonts w:asciiTheme="minorHAnsi" w:hAnsiTheme="minorHAnsi" w:cstheme="minorHAnsi"/>
          <w:color w:val="000000"/>
        </w:rPr>
        <w:t xml:space="preserve">Išvada: skundas nepriimtinas. </w:t>
      </w:r>
    </w:p>
    <w:p w14:paraId="256EEE15" w14:textId="77777777" w:rsidR="00800BC9" w:rsidRPr="00800BC9" w:rsidRDefault="00267716" w:rsidP="00800BC9">
      <w:pPr>
        <w:pStyle w:val="prastasis1"/>
        <w:spacing w:after="0" w:line="240" w:lineRule="auto"/>
        <w:ind w:firstLine="709"/>
        <w:jc w:val="both"/>
        <w:rPr>
          <w:rFonts w:asciiTheme="minorHAnsi" w:hAnsiTheme="minorHAnsi" w:cstheme="minorHAnsi"/>
          <w:color w:val="000000"/>
        </w:rPr>
      </w:pPr>
      <w:hyperlink r:id="rId25" w:anchor="{%22itemid%22:[%22001-202245%22]}" w:history="1">
        <w:r w:rsidR="00800BC9" w:rsidRPr="00800BC9">
          <w:rPr>
            <w:rStyle w:val="Hipersaitas"/>
            <w:rFonts w:asciiTheme="minorHAnsi" w:hAnsiTheme="minorHAnsi" w:cstheme="minorHAnsi"/>
          </w:rPr>
          <w:t>Prieiga internete</w:t>
        </w:r>
      </w:hyperlink>
    </w:p>
    <w:p w14:paraId="08184C2F"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272F5F0C"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kovo 26 d. sprendimas byloje</w:t>
      </w:r>
    </w:p>
    <w:p w14:paraId="5F5E1D22" w14:textId="77777777" w:rsidR="00351D5B" w:rsidRPr="00536624" w:rsidRDefault="00351D5B" w:rsidP="00351D5B">
      <w:pPr>
        <w:pStyle w:val="Antrat2"/>
        <w:ind w:right="-1" w:firstLine="0"/>
        <w:jc w:val="center"/>
        <w:rPr>
          <w:rFonts w:eastAsia="Calibri" w:cstheme="minorHAnsi"/>
          <w:i/>
        </w:rPr>
      </w:pPr>
      <w:bookmarkStart w:id="37" w:name="_Toc52184451"/>
      <w:r w:rsidRPr="00536624">
        <w:rPr>
          <w:rFonts w:eastAsia="Calibri" w:cstheme="minorHAnsi"/>
          <w:i/>
        </w:rPr>
        <w:t>Demokratijos ir teisinės valstybės centras prieš Ukrainą</w:t>
      </w:r>
      <w:bookmarkEnd w:id="37"/>
    </w:p>
    <w:p w14:paraId="38909005"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10090/16</w:t>
      </w:r>
      <w:r w:rsidRPr="00536624">
        <w:rPr>
          <w:rFonts w:cstheme="minorHAnsi"/>
          <w:b/>
        </w:rPr>
        <w:t>, svarbos lygis – 2</w:t>
      </w:r>
      <w:r w:rsidRPr="00536624">
        <w:rPr>
          <w:rFonts w:eastAsia="Times New Roman" w:cstheme="minorHAnsi"/>
          <w:b/>
        </w:rPr>
        <w:t>)</w:t>
      </w:r>
    </w:p>
    <w:p w14:paraId="1CF1F486" w14:textId="77777777" w:rsidR="00351D5B" w:rsidRPr="00536624" w:rsidRDefault="00351D5B" w:rsidP="00351D5B">
      <w:pPr>
        <w:shd w:val="clear" w:color="auto" w:fill="FFFFFF"/>
        <w:spacing w:after="0" w:line="240" w:lineRule="auto"/>
        <w:ind w:right="-1" w:firstLine="567"/>
        <w:jc w:val="center"/>
        <w:rPr>
          <w:rFonts w:eastAsia="Times New Roman" w:cstheme="minorHAnsi"/>
          <w:b/>
          <w:bCs/>
        </w:rPr>
      </w:pPr>
    </w:p>
    <w:p w14:paraId="093E70F4"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38" w:name="_Toc52184452"/>
      <w:r w:rsidRPr="00536624">
        <w:rPr>
          <w:rFonts w:eastAsia="Calibri" w:cstheme="minorHAnsi"/>
          <w:bCs/>
          <w:iCs/>
          <w:szCs w:val="22"/>
        </w:rPr>
        <w:lastRenderedPageBreak/>
        <w:t>Dėl informacijos apie politinių lyderių, dalyvaujančių parlamento rinkimuose, išsilavinimą ir darbinę patirtį nevyriausybinei organizacijai  nesuteikimo</w:t>
      </w:r>
      <w:bookmarkEnd w:id="38"/>
    </w:p>
    <w:p w14:paraId="3B8003ED" w14:textId="77777777" w:rsidR="00351D5B" w:rsidRPr="00536624" w:rsidRDefault="00351D5B" w:rsidP="00351D5B">
      <w:pPr>
        <w:spacing w:after="0" w:line="240" w:lineRule="auto"/>
        <w:ind w:right="-1" w:firstLine="567"/>
        <w:rPr>
          <w:rFonts w:cstheme="minorHAnsi"/>
        </w:rPr>
      </w:pPr>
    </w:p>
    <w:p w14:paraId="39237949" w14:textId="77777777" w:rsidR="00351D5B" w:rsidRPr="00536624" w:rsidRDefault="00351D5B" w:rsidP="00351D5B">
      <w:pPr>
        <w:shd w:val="clear" w:color="auto" w:fill="FFFFFF"/>
        <w:spacing w:after="0" w:line="240" w:lineRule="auto"/>
        <w:ind w:right="-1"/>
        <w:jc w:val="center"/>
        <w:rPr>
          <w:rFonts w:eastAsia="Times New Roman" w:cstheme="minorHAnsi"/>
          <w:b/>
          <w:bCs/>
        </w:rPr>
      </w:pPr>
      <w:r w:rsidRPr="00536624">
        <w:rPr>
          <w:rFonts w:eastAsia="Times New Roman" w:cstheme="minorHAnsi"/>
          <w:b/>
          <w:bCs/>
        </w:rPr>
        <w:t>Faktinės aplinkybės</w:t>
      </w:r>
    </w:p>
    <w:p w14:paraId="20F0A55C" w14:textId="77777777" w:rsidR="00351D5B" w:rsidRPr="00536624" w:rsidRDefault="00351D5B" w:rsidP="00351D5B">
      <w:pPr>
        <w:spacing w:after="0" w:line="240" w:lineRule="auto"/>
        <w:ind w:right="-1" w:firstLine="567"/>
        <w:rPr>
          <w:rFonts w:cstheme="minorHAnsi"/>
        </w:rPr>
      </w:pPr>
    </w:p>
    <w:p w14:paraId="4B048AF8" w14:textId="21B559A5" w:rsidR="00351D5B" w:rsidRPr="00536624" w:rsidRDefault="00351D5B" w:rsidP="00351D5B">
      <w:pPr>
        <w:spacing w:after="0" w:line="240" w:lineRule="auto"/>
        <w:ind w:right="-1" w:firstLine="567"/>
        <w:jc w:val="both"/>
        <w:rPr>
          <w:rFonts w:cstheme="minorHAnsi"/>
        </w:rPr>
      </w:pPr>
      <w:r w:rsidRPr="00536624">
        <w:rPr>
          <w:rFonts w:cstheme="minorHAnsi"/>
        </w:rPr>
        <w:t xml:space="preserve">Ukrainos centrinė rinkimų komisija (CRK) atsisakė pareiškėjui </w:t>
      </w:r>
      <w:r w:rsidRPr="00536624">
        <w:rPr>
          <w:rFonts w:cstheme="minorHAnsi"/>
          <w:bCs/>
          <w:iCs/>
        </w:rPr>
        <w:t xml:space="preserve">nevyriausybinei organizacijai (toliau ir – </w:t>
      </w:r>
      <w:r w:rsidRPr="00536624">
        <w:rPr>
          <w:rFonts w:cstheme="minorHAnsi"/>
        </w:rPr>
        <w:t xml:space="preserve">NVO) pateikti parlamento rinkimuose dalyvaujančių politinių partijų vadovų išsamių biografijų kopijas, motyvuodama tuo, kad prašoma informacija yra konfidenciali ir gali būti atskleidžiama tik su asmens sutikimu. Pareiškėjui buvo pateikti tik tam tikri duomenys iš prašomų biografijų, kurie buvo paskelbti CRK svetainėje. Pareiškėjas tokį atsisakymą </w:t>
      </w:r>
      <w:r w:rsidR="00F955F3">
        <w:rPr>
          <w:rFonts w:cstheme="minorHAnsi"/>
        </w:rPr>
        <w:t xml:space="preserve">nacionaliniuose teismuose </w:t>
      </w:r>
      <w:r w:rsidRPr="00536624">
        <w:rPr>
          <w:rFonts w:cstheme="minorHAnsi"/>
        </w:rPr>
        <w:t>nes</w:t>
      </w:r>
      <w:r w:rsidR="00F955F3">
        <w:rPr>
          <w:rFonts w:cstheme="minorHAnsi"/>
        </w:rPr>
        <w:t xml:space="preserve">ėkmingai </w:t>
      </w:r>
      <w:r w:rsidRPr="00536624">
        <w:rPr>
          <w:rFonts w:cstheme="minorHAnsi"/>
        </w:rPr>
        <w:t xml:space="preserve">skundė. </w:t>
      </w:r>
    </w:p>
    <w:p w14:paraId="0854300D" w14:textId="77777777" w:rsidR="00351D5B" w:rsidRPr="00536624" w:rsidRDefault="00351D5B" w:rsidP="00351D5B">
      <w:pPr>
        <w:spacing w:after="0" w:line="240" w:lineRule="auto"/>
        <w:ind w:right="-1" w:firstLine="567"/>
        <w:jc w:val="both"/>
        <w:rPr>
          <w:rFonts w:cstheme="minorHAnsi"/>
        </w:rPr>
      </w:pPr>
      <w:r w:rsidRPr="00536624">
        <w:rPr>
          <w:rFonts w:cstheme="minorHAnsi"/>
        </w:rPr>
        <w:t>NVO kreipėsi į Teismą skųsdamasi, kad nacionalinės valdžios institucijos, pažeisdamos Konvencijos 10 straipsnį, neleido jai susipažinti su informacija, kurios reikia norint veiksmingai naudotis saviraiškos laisve.</w:t>
      </w:r>
    </w:p>
    <w:p w14:paraId="20C4220A" w14:textId="77777777" w:rsidR="00351D5B" w:rsidRPr="00536624" w:rsidRDefault="00351D5B" w:rsidP="00351D5B">
      <w:pPr>
        <w:spacing w:after="0" w:line="240" w:lineRule="auto"/>
        <w:ind w:right="-1" w:firstLine="567"/>
        <w:jc w:val="both"/>
        <w:rPr>
          <w:rFonts w:cstheme="minorHAnsi"/>
        </w:rPr>
      </w:pPr>
    </w:p>
    <w:p w14:paraId="1F5A9FC5"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72AFFCA4" w14:textId="77777777" w:rsidR="00351D5B" w:rsidRPr="00536624" w:rsidRDefault="00351D5B" w:rsidP="00351D5B">
      <w:pPr>
        <w:spacing w:after="0" w:line="240" w:lineRule="auto"/>
        <w:ind w:right="-1" w:firstLine="567"/>
        <w:jc w:val="both"/>
        <w:rPr>
          <w:rFonts w:cstheme="minorHAnsi"/>
        </w:rPr>
      </w:pPr>
    </w:p>
    <w:p w14:paraId="647C02A2"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pasirėmęs savo ankstesne praktika byloje </w:t>
      </w:r>
      <w:proofErr w:type="spellStart"/>
      <w:r w:rsidRPr="00536624">
        <w:rPr>
          <w:rFonts w:cstheme="minorHAnsi"/>
          <w:i/>
        </w:rPr>
        <w:t>Magyar</w:t>
      </w:r>
      <w:proofErr w:type="spellEnd"/>
      <w:r w:rsidRPr="00536624">
        <w:rPr>
          <w:rFonts w:cstheme="minorHAnsi"/>
          <w:i/>
        </w:rPr>
        <w:t xml:space="preserve"> </w:t>
      </w:r>
      <w:proofErr w:type="spellStart"/>
      <w:r w:rsidRPr="00536624">
        <w:rPr>
          <w:rFonts w:cstheme="minorHAnsi"/>
          <w:i/>
        </w:rPr>
        <w:t>Kelsinki</w:t>
      </w:r>
      <w:proofErr w:type="spellEnd"/>
      <w:r w:rsidRPr="00536624">
        <w:rPr>
          <w:rFonts w:cstheme="minorHAnsi"/>
          <w:i/>
        </w:rPr>
        <w:t xml:space="preserve"> </w:t>
      </w:r>
      <w:proofErr w:type="spellStart"/>
      <w:r w:rsidRPr="00536624">
        <w:rPr>
          <w:rFonts w:cstheme="minorHAnsi"/>
          <w:i/>
        </w:rPr>
        <w:t>Bizottság</w:t>
      </w:r>
      <w:proofErr w:type="spellEnd"/>
      <w:r w:rsidRPr="00536624">
        <w:rPr>
          <w:rFonts w:cstheme="minorHAnsi"/>
          <w:i/>
        </w:rPr>
        <w:t xml:space="preserve"> prieš Vengriją</w:t>
      </w:r>
      <w:r w:rsidRPr="00536624">
        <w:rPr>
          <w:rFonts w:cstheme="minorHAnsi"/>
        </w:rPr>
        <w:t>, pažymėjo, jog spręsdamas, ar prašytų duomenų neatskleidimas nepažeidė pareiškėjo saviraiškos laisvę pagal Konvencijos 10 straipsnį, atsižvelgs į keturis kriterijus:</w:t>
      </w:r>
    </w:p>
    <w:p w14:paraId="047DDFCA" w14:textId="77777777" w:rsidR="00351D5B" w:rsidRPr="00536624" w:rsidRDefault="00351D5B" w:rsidP="00351D5B">
      <w:pPr>
        <w:pStyle w:val="Sraopastraipa"/>
        <w:numPr>
          <w:ilvl w:val="0"/>
          <w:numId w:val="3"/>
        </w:numPr>
        <w:spacing w:after="0" w:line="240" w:lineRule="auto"/>
        <w:ind w:left="0" w:right="-1" w:firstLine="567"/>
        <w:jc w:val="both"/>
        <w:rPr>
          <w:rFonts w:asciiTheme="minorHAnsi" w:hAnsiTheme="minorHAnsi" w:cstheme="minorHAnsi"/>
        </w:rPr>
      </w:pPr>
      <w:r w:rsidRPr="00536624">
        <w:rPr>
          <w:rFonts w:asciiTheme="minorHAnsi" w:hAnsiTheme="minorHAnsi" w:cstheme="minorHAnsi"/>
        </w:rPr>
        <w:t>informacijos prašymo tikslą: pareiškėjas, atsižvelgęs į ankstesnius ginčus dėl pareigūnų išsilavinimo, susirūpino kandidatų į aukštas pareigas sąžiningumu. Nors nemaža informacijos dalis apie jų išsilavinimą ir darbą jau buvo viešai prieinama, paraišką pateikusi NVO gana įtikinamai paaiškino, jog jai ypač reikia informacijos iš pirmų rankų, norint ją sulyginti su informaciją apie politikų turimą turtą. Šiuo atveju nebuvo ginčo dėl to, kad šią informaciją tuo metu buvo galima gauti iš kitų šaltinių.</w:t>
      </w:r>
    </w:p>
    <w:p w14:paraId="6BFF012D" w14:textId="77777777" w:rsidR="00351D5B" w:rsidRPr="00536624" w:rsidRDefault="00351D5B" w:rsidP="00351D5B">
      <w:pPr>
        <w:pStyle w:val="Sraopastraipa"/>
        <w:numPr>
          <w:ilvl w:val="0"/>
          <w:numId w:val="3"/>
        </w:numPr>
        <w:spacing w:after="0" w:line="240" w:lineRule="auto"/>
        <w:ind w:left="0" w:right="-1" w:firstLine="567"/>
        <w:jc w:val="both"/>
        <w:rPr>
          <w:rFonts w:asciiTheme="minorHAnsi" w:hAnsiTheme="minorHAnsi" w:cstheme="minorHAnsi"/>
        </w:rPr>
      </w:pPr>
      <w:r w:rsidRPr="00536624">
        <w:rPr>
          <w:rFonts w:asciiTheme="minorHAnsi" w:hAnsiTheme="minorHAnsi" w:cstheme="minorHAnsi"/>
        </w:rPr>
        <w:t xml:space="preserve">ieškomos informacijos pobūdį: visuomenė domėjosi kandidatų biografija ir sąžiningumu po rinkimų. Todėl, Teismo vertinimu, prašoma informacija atitiko visuomenės suinteresuotumo aspektą. </w:t>
      </w:r>
    </w:p>
    <w:p w14:paraId="30DD0F6A" w14:textId="77777777" w:rsidR="00351D5B" w:rsidRPr="00536624" w:rsidRDefault="00351D5B" w:rsidP="00351D5B">
      <w:pPr>
        <w:pStyle w:val="Sraopastraipa"/>
        <w:numPr>
          <w:ilvl w:val="0"/>
          <w:numId w:val="3"/>
        </w:numPr>
        <w:spacing w:after="0" w:line="240" w:lineRule="auto"/>
        <w:ind w:left="0" w:right="-1" w:firstLine="567"/>
        <w:jc w:val="both"/>
        <w:rPr>
          <w:rFonts w:asciiTheme="minorHAnsi" w:hAnsiTheme="minorHAnsi" w:cstheme="minorHAnsi"/>
        </w:rPr>
      </w:pPr>
      <w:r w:rsidRPr="00536624">
        <w:rPr>
          <w:rFonts w:asciiTheme="minorHAnsi" w:hAnsiTheme="minorHAnsi" w:cstheme="minorHAnsi"/>
        </w:rPr>
        <w:t>ypatingą informacijos ieškotojo vaidmenį „gaunant ir perduodant“ informaciją visuomenei: pareiškėjas atitiko visuomenės interesų sergėtojo vaidmenį.</w:t>
      </w:r>
    </w:p>
    <w:p w14:paraId="2BA516EC" w14:textId="77777777" w:rsidR="00351D5B" w:rsidRPr="00536624" w:rsidRDefault="00351D5B" w:rsidP="00351D5B">
      <w:pPr>
        <w:pStyle w:val="Sraopastraipa"/>
        <w:numPr>
          <w:ilvl w:val="0"/>
          <w:numId w:val="3"/>
        </w:numPr>
        <w:spacing w:after="0" w:line="240" w:lineRule="auto"/>
        <w:ind w:left="0" w:right="-1" w:firstLine="567"/>
        <w:jc w:val="both"/>
        <w:rPr>
          <w:rFonts w:asciiTheme="minorHAnsi" w:hAnsiTheme="minorHAnsi" w:cstheme="minorHAnsi"/>
        </w:rPr>
      </w:pPr>
      <w:r w:rsidRPr="00536624">
        <w:rPr>
          <w:rFonts w:asciiTheme="minorHAnsi" w:hAnsiTheme="minorHAnsi" w:cstheme="minorHAnsi"/>
        </w:rPr>
        <w:t>prašomos informacijos parengimą ir prieinamumą: šiuo atveju kriterijus buvo išpildytas.</w:t>
      </w:r>
    </w:p>
    <w:p w14:paraId="776D2529" w14:textId="77777777" w:rsidR="00351D5B" w:rsidRPr="00536624" w:rsidRDefault="00351D5B" w:rsidP="00351D5B">
      <w:pPr>
        <w:spacing w:after="0" w:line="240" w:lineRule="auto"/>
        <w:ind w:right="-1" w:firstLine="567"/>
        <w:jc w:val="both"/>
        <w:rPr>
          <w:rFonts w:cstheme="minorHAnsi"/>
        </w:rPr>
      </w:pPr>
      <w:r w:rsidRPr="00536624">
        <w:rPr>
          <w:rFonts w:cstheme="minorHAnsi"/>
        </w:rPr>
        <w:t>Įvertinęs šiuos kriterijus ir atsižvelgęs į faktines aplinkybes, Teismas sprendė, jog atsisakydamos atskleisti pareiškėjui informaciją apie kandidatų išsilavinimą ir biografiją, pateiktą jų oficialiuose CV ir perduotą CRK, valstybės institucijos pažeidė jo laisvę gauti ir perduoti informaciją tokiu būdu, kad būtų nepažeidžiama Konvencijos 10 straipsnyje įtvirtina saviraiškos laisvė.</w:t>
      </w:r>
    </w:p>
    <w:p w14:paraId="31379666"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priminė, jog kišimasis į pareiškėjo teises pažeistų Konvenciją, jei toks kišimasis neatitiktų Konvencijos 10 straipsnio 2 dalies reikalavimų, tad šiuo atveju reikia nustatyti, ar tai buvo nustatyta įstatyme, ar tuo siekta minėtoje normoje nurodytų teisėtų tikslų bei ar tai buvo būtina demokratinėje visuomenėje. </w:t>
      </w:r>
    </w:p>
    <w:p w14:paraId="3C918E50" w14:textId="7525F672" w:rsidR="00351D5B" w:rsidRPr="00536624" w:rsidRDefault="00351D5B" w:rsidP="00351D5B">
      <w:pPr>
        <w:spacing w:after="0" w:line="240" w:lineRule="auto"/>
        <w:ind w:right="-1" w:firstLine="567"/>
        <w:jc w:val="both"/>
        <w:rPr>
          <w:rFonts w:cstheme="minorHAnsi"/>
        </w:rPr>
      </w:pPr>
      <w:r w:rsidRPr="00536624">
        <w:rPr>
          <w:rFonts w:cstheme="minorHAnsi"/>
        </w:rPr>
        <w:t>Susipažinę</w:t>
      </w:r>
      <w:r w:rsidR="00F955F3">
        <w:rPr>
          <w:rFonts w:cstheme="minorHAnsi"/>
        </w:rPr>
        <w:t>s</w:t>
      </w:r>
      <w:r w:rsidRPr="00536624">
        <w:rPr>
          <w:rFonts w:cstheme="minorHAnsi"/>
        </w:rPr>
        <w:t xml:space="preserve"> su bylos medžiaga, Teismas pripažino, jog r</w:t>
      </w:r>
      <w:r w:rsidR="00F955F3">
        <w:rPr>
          <w:rFonts w:cstheme="minorHAnsi"/>
        </w:rPr>
        <w:t>ibojimas buvo numatytas įstatyme</w:t>
      </w:r>
      <w:r w:rsidRPr="00536624">
        <w:rPr>
          <w:rFonts w:cstheme="minorHAnsi"/>
        </w:rPr>
        <w:t xml:space="preserve"> ir juo buvo siekiama teisėto tikslo – apsaugoti kitų asmenų privatumą, ko iš esmės labai ir neginčijo pareiškėjas. Pasisakydamas dėl sąlygos „būtinumas demokratinėje visuomenėje”, Teismas nurodė, jog suinteresuoti asmenys, iškilūs visuomenės veikėjai pateikė savo gyvenimo aprašymus, kad galėtų kandidatuoti nacionaliniuose parlamento rinkimuose. Taigi jie atskleidė savo kvalifikaciją ir kitus duomenis, kad būtų įvertinti visuomenės. Be to, jie tai padarė ten, kur nacionaliniai teisės aktai šią informaciją apibrėžė kaip viešą. Nors ši informacija laikoma asmens duomenimis, jos atskleidimas nebūtų padaręs politikams didelio poveikio, t. y. viršijęs tokį išviešinimą, kurio jie negalėjo numatyti registruodamiesi kandidatais į parlamentą politinių partijų sąrašų viršuje. </w:t>
      </w:r>
    </w:p>
    <w:p w14:paraId="370D62F0" w14:textId="4C6C5C8A" w:rsidR="00351D5B" w:rsidRPr="00536624" w:rsidRDefault="00351D5B" w:rsidP="00351D5B">
      <w:pPr>
        <w:spacing w:after="0" w:line="240" w:lineRule="auto"/>
        <w:ind w:right="-1" w:firstLine="567"/>
        <w:jc w:val="both"/>
        <w:rPr>
          <w:rFonts w:cstheme="minorHAnsi"/>
        </w:rPr>
      </w:pPr>
      <w:r w:rsidRPr="00536624">
        <w:rPr>
          <w:rFonts w:cstheme="minorHAnsi"/>
        </w:rPr>
        <w:t xml:space="preserve">Teismo vertinimu, nacionaliniai teismai nesugebėjo tinkamai įvertinti pusiausvyros tarp žalos politikams dėl jų duomenų atskleidimo ir žalos neatsikleidžiant šios informacijos bei tokiu būdu pažeidžiant saviraiškos laisvę. Padarę išvadą, kad kalbant apie veiksmingą naudojimąsi balsavimo teisėmis nebuvo nurodytas poreikis atskleisti informaciją, jie nebandė įvertinti galimo neigiamo poveikio laipsnio politikų privatumui. Dar daugiau, net </w:t>
      </w:r>
      <w:r w:rsidR="00F955F3">
        <w:rPr>
          <w:rFonts w:cstheme="minorHAnsi"/>
        </w:rPr>
        <w:t xml:space="preserve">teismuose </w:t>
      </w:r>
      <w:r w:rsidRPr="00536624">
        <w:rPr>
          <w:rFonts w:cstheme="minorHAnsi"/>
        </w:rPr>
        <w:t>nebuvo paaiškinta, kaip šiomis aplinkybėmis galėjo būti pažeistas kelių politikų, kurie savo noru paskelbė savo gyvenimo aprašymus, privatumas.</w:t>
      </w:r>
    </w:p>
    <w:p w14:paraId="17995CCB" w14:textId="77777777" w:rsidR="00351D5B" w:rsidRPr="00536624" w:rsidRDefault="00351D5B" w:rsidP="00351D5B">
      <w:pPr>
        <w:spacing w:after="0" w:line="240" w:lineRule="auto"/>
        <w:ind w:right="-1" w:firstLine="567"/>
        <w:jc w:val="both"/>
        <w:rPr>
          <w:rFonts w:cstheme="minorHAnsi"/>
        </w:rPr>
      </w:pPr>
      <w:r w:rsidRPr="00536624">
        <w:rPr>
          <w:rFonts w:cstheme="minorHAnsi"/>
        </w:rPr>
        <w:t>Atsižvelgiant į tai, kas išdėstyta, Teismas konstatavo, kad sprendimas nesuteikti ginčijamos informacijos pareiškėjui nebuvo būtinas demokratinėje visuomenėje, taip pažeidžiant Konvencijos 10 straipsnį.</w:t>
      </w:r>
    </w:p>
    <w:p w14:paraId="718995C9" w14:textId="77777777" w:rsidR="00351D5B" w:rsidRPr="00536624" w:rsidRDefault="00351D5B" w:rsidP="00351D5B">
      <w:pPr>
        <w:spacing w:after="0" w:line="240" w:lineRule="auto"/>
        <w:ind w:right="-1"/>
        <w:jc w:val="both"/>
        <w:rPr>
          <w:rFonts w:cstheme="minorHAnsi"/>
        </w:rPr>
      </w:pPr>
    </w:p>
    <w:p w14:paraId="46442925"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nustatytas Konvencijos 10 straipsnio pažeidimas (vienbalsiai). </w:t>
      </w:r>
    </w:p>
    <w:p w14:paraId="3FEB4449" w14:textId="77777777" w:rsidR="00351D5B" w:rsidRPr="00536624" w:rsidRDefault="00351D5B" w:rsidP="00351D5B">
      <w:pPr>
        <w:spacing w:after="0" w:line="240" w:lineRule="auto"/>
        <w:ind w:right="-1" w:firstLine="567"/>
        <w:jc w:val="both"/>
        <w:rPr>
          <w:rFonts w:cstheme="minorHAnsi"/>
        </w:rPr>
      </w:pPr>
      <w:r w:rsidRPr="00536624">
        <w:rPr>
          <w:rFonts w:cstheme="minorHAnsi"/>
        </w:rPr>
        <w:t>41 straipsnis: pažeidimo konstatavimas kaip pakankama satisfakcija neturtinės žalos atlyginimui.</w:t>
      </w:r>
    </w:p>
    <w:p w14:paraId="3FA7882D" w14:textId="77777777" w:rsidR="00351D5B" w:rsidRPr="00536624" w:rsidRDefault="00267716" w:rsidP="00351D5B">
      <w:pPr>
        <w:spacing w:after="0" w:line="240" w:lineRule="auto"/>
        <w:ind w:right="-1" w:firstLine="567"/>
        <w:jc w:val="both"/>
        <w:rPr>
          <w:rStyle w:val="Hipersaitas"/>
          <w:rFonts w:cstheme="minorHAnsi"/>
        </w:rPr>
      </w:pPr>
      <w:hyperlink r:id="rId26" w:history="1">
        <w:r w:rsidR="00351D5B" w:rsidRPr="00536624">
          <w:rPr>
            <w:rStyle w:val="Hipersaitas"/>
            <w:rFonts w:cstheme="minorHAnsi"/>
          </w:rPr>
          <w:t>Prieiga internete</w:t>
        </w:r>
      </w:hyperlink>
    </w:p>
    <w:p w14:paraId="191FF028"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794CDEC8"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balandžio 28 d. sprendimas byloje</w:t>
      </w:r>
    </w:p>
    <w:p w14:paraId="150B9DF6" w14:textId="77777777" w:rsidR="00351D5B" w:rsidRPr="00536624" w:rsidRDefault="00351D5B" w:rsidP="003460C1">
      <w:pPr>
        <w:pStyle w:val="Antrat2"/>
        <w:jc w:val="center"/>
        <w:rPr>
          <w:i/>
        </w:rPr>
      </w:pPr>
      <w:bookmarkStart w:id="39" w:name="_Toc52184453"/>
      <w:r w:rsidRPr="00536624">
        <w:rPr>
          <w:i/>
        </w:rPr>
        <w:t>ATV ZRT prieš Vengriją</w:t>
      </w:r>
      <w:bookmarkEnd w:id="39"/>
    </w:p>
    <w:p w14:paraId="79B7B138"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61178/14, svarbos lygis – 2)</w:t>
      </w:r>
    </w:p>
    <w:p w14:paraId="17169CCB"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5989DD81" w14:textId="77777777" w:rsidR="00351D5B" w:rsidRPr="00536624" w:rsidRDefault="00351D5B" w:rsidP="005D6E08">
      <w:pPr>
        <w:pStyle w:val="Antrat3"/>
        <w:ind w:firstLine="567"/>
        <w:jc w:val="both"/>
      </w:pPr>
      <w:bookmarkStart w:id="40" w:name="_Toc52184454"/>
      <w:r w:rsidRPr="00536624">
        <w:t>Dėl draudimo televizijai apibūdinti politinę partiją kaip „kraštutinius dešiniuosius“, kiek tai susiję su įstatyme įtvirtinto draudimo žinių pranešėjams reikšti bet kokią “nuomonę”</w:t>
      </w:r>
      <w:bookmarkEnd w:id="40"/>
    </w:p>
    <w:p w14:paraId="19037BD3"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5B21EF3"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0D5A2D31"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57846D44"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cstheme="minorHAnsi"/>
          <w:bCs/>
          <w:iCs/>
        </w:rPr>
      </w:pPr>
      <w:r w:rsidRPr="00536624">
        <w:rPr>
          <w:rFonts w:eastAsia="Times New Roman" w:cstheme="minorHAnsi"/>
          <w:color w:val="000000"/>
        </w:rPr>
        <w:t xml:space="preserve">Šalies specialus Žiniasklaidos įstatymas draudė žinių pranešėjui skelbti savo nuomonę. Pareiškėjas valdo televizijos kanalą ATV, per kurį buvo parodytas įstatymo draudžiamas žinių reportažas įvardinant politinę partiją </w:t>
      </w:r>
      <w:proofErr w:type="spellStart"/>
      <w:r w:rsidRPr="00536624">
        <w:rPr>
          <w:rFonts w:eastAsia="Times New Roman" w:cstheme="minorHAnsi"/>
          <w:color w:val="000000"/>
        </w:rPr>
        <w:t>Jobbik</w:t>
      </w:r>
      <w:proofErr w:type="spellEnd"/>
      <w:r w:rsidRPr="00536624">
        <w:rPr>
          <w:rFonts w:eastAsia="Times New Roman" w:cstheme="minorHAnsi"/>
          <w:color w:val="000000"/>
        </w:rPr>
        <w:t xml:space="preserve"> kaip </w:t>
      </w:r>
      <w:r w:rsidRPr="00536624">
        <w:rPr>
          <w:rFonts w:cstheme="minorHAnsi"/>
          <w:bCs/>
          <w:iCs/>
        </w:rPr>
        <w:t>„kraštutinius dešiniuosius“</w:t>
      </w:r>
      <w:r w:rsidRPr="00536624">
        <w:rPr>
          <w:rFonts w:cstheme="minorHAnsi"/>
          <w:bCs/>
          <w:i/>
          <w:iCs/>
        </w:rPr>
        <w:t xml:space="preserve"> </w:t>
      </w:r>
      <w:r w:rsidRPr="00536624">
        <w:rPr>
          <w:rFonts w:eastAsia="Times New Roman" w:cstheme="minorHAnsi"/>
          <w:color w:val="000000"/>
        </w:rPr>
        <w:t xml:space="preserve">nurodant, jog „sekmadienį susikurs beprecedentė sąjunga prieš netolerantiškus parlamentinių kraštutinių dešiniųjų pasisakymus“. Nacionalinė žiniasklaidos ir </w:t>
      </w:r>
      <w:proofErr w:type="spellStart"/>
      <w:r w:rsidRPr="00536624">
        <w:rPr>
          <w:rFonts w:eastAsia="Times New Roman" w:cstheme="minorHAnsi"/>
          <w:color w:val="000000"/>
        </w:rPr>
        <w:t>infokomunikacijų</w:t>
      </w:r>
      <w:proofErr w:type="spellEnd"/>
      <w:r w:rsidRPr="00536624">
        <w:rPr>
          <w:rFonts w:eastAsia="Times New Roman" w:cstheme="minorHAnsi"/>
          <w:color w:val="000000"/>
        </w:rPr>
        <w:t xml:space="preserve"> inspekcija, išnagrinėjusi </w:t>
      </w:r>
      <w:proofErr w:type="spellStart"/>
      <w:r w:rsidRPr="00536624">
        <w:rPr>
          <w:rFonts w:eastAsia="Times New Roman" w:cstheme="minorHAnsi"/>
          <w:color w:val="000000"/>
        </w:rPr>
        <w:t>Jobbik</w:t>
      </w:r>
      <w:proofErr w:type="spellEnd"/>
      <w:r w:rsidRPr="00536624">
        <w:rPr>
          <w:rFonts w:eastAsia="Times New Roman" w:cstheme="minorHAnsi"/>
          <w:color w:val="000000"/>
        </w:rPr>
        <w:t xml:space="preserve"> skundą, uždraudė kartoti minėtą pareiškimą. Pareiškėjas nacionaliniuose teismuose nesėkmingai bandė užginčyti tai, kad terminas </w:t>
      </w:r>
      <w:r w:rsidRPr="00536624">
        <w:rPr>
          <w:rFonts w:cstheme="minorHAnsi"/>
          <w:bCs/>
          <w:iCs/>
        </w:rPr>
        <w:t xml:space="preserve">„kraštutiniai dešinieji“ buvo plačiai vartojamas kalbant apie </w:t>
      </w:r>
      <w:proofErr w:type="spellStart"/>
      <w:r w:rsidRPr="00536624">
        <w:rPr>
          <w:rFonts w:cstheme="minorHAnsi"/>
          <w:bCs/>
          <w:iCs/>
        </w:rPr>
        <w:t>Jobbik</w:t>
      </w:r>
      <w:proofErr w:type="spellEnd"/>
      <w:r w:rsidRPr="00536624">
        <w:rPr>
          <w:rFonts w:cstheme="minorHAnsi"/>
          <w:bCs/>
          <w:iCs/>
        </w:rPr>
        <w:t xml:space="preserve">, be to, jis turėjo mokslinį pagrindą tiek politikos, tiek socialiniuose moksluose ir atspindėjo </w:t>
      </w:r>
      <w:proofErr w:type="spellStart"/>
      <w:r w:rsidRPr="00536624">
        <w:rPr>
          <w:rFonts w:cstheme="minorHAnsi"/>
          <w:bCs/>
          <w:iCs/>
        </w:rPr>
        <w:t>Jobbik</w:t>
      </w:r>
      <w:proofErr w:type="spellEnd"/>
      <w:r w:rsidRPr="00536624">
        <w:rPr>
          <w:rFonts w:cstheme="minorHAnsi"/>
          <w:bCs/>
          <w:iCs/>
        </w:rPr>
        <w:t xml:space="preserve"> poziciją parlamente.</w:t>
      </w:r>
    </w:p>
    <w:p w14:paraId="0E60B9F3"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cstheme="minorHAnsi"/>
          <w:bCs/>
          <w:iCs/>
        </w:rPr>
        <w:t>Pareiškėjas, remdamasis Konvencijos 10 straipsniu, skundėsi Teismui, jog nacionalinių teismų sprendimai trukdė jo teisei į saviraišką, ir toks kišimasis nebuvo būtinas demokratinėje visuomenėje.</w:t>
      </w:r>
    </w:p>
    <w:p w14:paraId="2FCA5680"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00654153"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4787B1F1"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p>
    <w:p w14:paraId="3BC24B83"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pažymėjo, kad nagrinėjamu atveju ginčas kilo dėl to, ar pareiškėjas galėjo numatyti savo saviraiškos laisvės apribojimą, t. y. kad nacionaliniai teismai terminą „kraštutiniai dešinieji“ laikys nuomone, o ne faktiniu teiginiu ir atitinkamai nubaus už šio termino vartojimą žinių programoje Žiniasklaidos įstatymo 12 straipsnio pagrindu. Šiame kontekste Teismas atkreipė dėmesį į tai, kad „faktai“ ne visada gali būti aiškiai atskiriami nuo „nuomonių“, o teisės normose vartojamų terminų abstraktumas aktualias nuostatas gali paversti žodžio laisvės užgniaužimo įrankiu. Vertindamas, ar pareiškėjo televizijos kanalas, pranešime pavartodamas terminą „kraštutiniai dešinieji“, žinojo arba galėjo žinoti (esant poreikiui, pasitelkus teisinę pagalbą), jog toks išsireiškimas bus laikomas nuomone, nustatė, kad nagrinėjamas atvejis yra pirmasis nacionaliniuose teismuose, kai buvo vertinama, ar būdvardis, apibūdinantis politinę ideologiją, pripažintinas faktiniu teiginiu ar nuomone. Teismo vertinimu, klausimas, ar nacionalinių teismų pozicija galėjo būti protingai numatoma, yra glaudžiai susijęs su ištyrimu, ar demokratinėje visuomenėje būtina uždrausti terminą „kraštutiniai dešinieji“.</w:t>
      </w:r>
    </w:p>
    <w:p w14:paraId="27D7A41A"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pastebėjo, jog pareiškėjas sutinka, kad ginčo apribojimu siekiama apsaugoti politinės partijos reputaciją. Teismo įsitikinimu, ginčo priemonė buvo skirta užtikrinti žiūrovų teisę gauti subalansuotą ir nešališką informaciją su viešuoju interesu susijusiomis temomis per žinių programas, taigi buvo siekiama užtikrinti kitų asmenų teises.</w:t>
      </w:r>
    </w:p>
    <w:p w14:paraId="16BF462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taip pat akcentavo, jog Žiniasklaidos įstatymo 12 straipsnyje įtvirtinto draudimo tikslas yra ginti demokratinės visuomenės nuomonę nuo nepagrįsto žiniasklaidos poveikio ir užtikrinti objektyvios informacijos sklaidą. Nacionaliniams teismams teko pareiga aiškinti terminą „nuomonė“, atsižvelgiant į apribojimo tikslą ir garantuojant žiūrovų teisę gauti subalansuotą ir nešališką informaciją su viešuoju interesu susijusiomis temomis, taip pat žiniasklaidos atstovų teisę skleisti informaciją bei idėjas. Nagrinėjamu atveju nacionaliniai teismai siūlė įvairius ginčo termino analizės būdus ir padarė skirtingas išvadas, o Vyriausybė nepateikė duomenų apie egzistuojančią bendrą praktiką. Šios aplinkybės Teismui kėlė abejones, ar termino „kraštutiniai dešinieji“ interpretacija, kurią pateikė aukštesnės instancijos nacionaliniai teismai, galėjo būti pagrįstai numatyta. Dar daugiau, nėra duomenų, kad teismai, vertindami ginčo terminą, atsižvelgė į tai, jog teisiniu reguliavimu buvo siekiama užtikrinti subalansuotą žinių pranešimą. Teismas apžvelgė pareiškėjo </w:t>
      </w:r>
      <w:r w:rsidRPr="00536624">
        <w:rPr>
          <w:rFonts w:eastAsia="Times New Roman" w:cstheme="minorHAnsi"/>
          <w:color w:val="000000"/>
        </w:rPr>
        <w:lastRenderedPageBreak/>
        <w:t xml:space="preserve">paaiškinimus, jog partija </w:t>
      </w:r>
      <w:proofErr w:type="spellStart"/>
      <w:r w:rsidRPr="00536624">
        <w:rPr>
          <w:rFonts w:eastAsia="Times New Roman" w:cstheme="minorHAnsi"/>
          <w:i/>
          <w:color w:val="000000"/>
        </w:rPr>
        <w:t>Jobbik</w:t>
      </w:r>
      <w:proofErr w:type="spellEnd"/>
      <w:r w:rsidRPr="00536624">
        <w:rPr>
          <w:rFonts w:eastAsia="Times New Roman" w:cstheme="minorHAnsi"/>
          <w:color w:val="000000"/>
        </w:rPr>
        <w:t xml:space="preserve"> dažnai apibūdinama kaip „kraštutinių dešiniųjų“ partija tiek žiniasklaidoje, tiek mokslinėse diskusijose, tiek ir kasdienėje kalboje. Be to, politinės partijos dažnai apibūdinamos būdvardžiais (pvz., žaliųjų partija, konservatorių partija), nurodančiais į jų politinius tikslus ir programas, tai nebuvo laikoma nuomone ar vertybiniu įvertinimu, galinčiu turėti įtaką žiūrovams.</w:t>
      </w:r>
    </w:p>
    <w:p w14:paraId="42F3DFD3"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Galiausiai Teismas pažymėjo, kad termino „kraštutiniai dešinieji“ pavartojimas vertintinas atsižvelgiant ir į jo kontekstą, t. y. pranešimas buvo susijęs su rengiamomis demonstracijomis, paskatintomis antisemitinių partijos </w:t>
      </w:r>
      <w:proofErr w:type="spellStart"/>
      <w:r w:rsidRPr="00536624">
        <w:rPr>
          <w:rFonts w:eastAsia="Times New Roman" w:cstheme="minorHAnsi"/>
          <w:i/>
          <w:color w:val="000000"/>
        </w:rPr>
        <w:t>Jobbik</w:t>
      </w:r>
      <w:proofErr w:type="spellEnd"/>
      <w:r w:rsidRPr="00536624">
        <w:rPr>
          <w:rFonts w:eastAsia="Times New Roman" w:cstheme="minorHAnsi"/>
          <w:color w:val="000000"/>
        </w:rPr>
        <w:t xml:space="preserve"> nario komentarų, tačiau nacionaliniai teismai šios aplinkybės taip pat neįvertino. </w:t>
      </w:r>
    </w:p>
    <w:p w14:paraId="20DE7354"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Atsižvelgdamas į anksčiau nurodytas aplinkybes, Teismas konstatavo, jog pareiškėjas negalėjo numatyti, kad terminas „kraštutiniai dešinieji“ bus pripažintas nuomone ir kad tokio termino vartojimo žinių programoje uždraudimas bus būtinas siekiant užtikrinti nešališką pranešimą. Ginčo atveju pritaikytos priemonės laikytinos neproporcingu saviraiškos laisvės ribojimu, nebūtinu demokratinėje visuomenėje Konvencijos 10 straipsnio 2 dalies prasme.</w:t>
      </w:r>
    </w:p>
    <w:p w14:paraId="10FB108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0AB672BA"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nustatytas Konvencijos 10 straipsnio pažeidimas (vienbalsiai). </w:t>
      </w:r>
    </w:p>
    <w:p w14:paraId="145BEEF6" w14:textId="025EA21B" w:rsidR="00351D5B" w:rsidRPr="00536624" w:rsidRDefault="00351D5B" w:rsidP="00351D5B">
      <w:pPr>
        <w:spacing w:after="0" w:line="240" w:lineRule="auto"/>
        <w:ind w:right="-1" w:firstLine="567"/>
        <w:jc w:val="both"/>
        <w:rPr>
          <w:rFonts w:eastAsia="Times New Roman" w:cstheme="minorHAnsi"/>
          <w:color w:val="000000"/>
        </w:rPr>
      </w:pPr>
      <w:r w:rsidRPr="00536624">
        <w:rPr>
          <w:rFonts w:cstheme="minorHAnsi"/>
        </w:rPr>
        <w:t xml:space="preserve">41 straipsnis: </w:t>
      </w:r>
      <w:r w:rsidR="001D13E2" w:rsidRPr="00536624">
        <w:rPr>
          <w:rFonts w:cstheme="minorHAnsi"/>
        </w:rPr>
        <w:t>pažeidimo konstatavimas kaip pakankama satisfakcija neturtinės žalos atlyginimui</w:t>
      </w:r>
      <w:r w:rsidRPr="00536624">
        <w:rPr>
          <w:rFonts w:eastAsia="Times New Roman" w:cstheme="minorHAnsi"/>
          <w:color w:val="000000"/>
        </w:rPr>
        <w:t>.</w:t>
      </w:r>
    </w:p>
    <w:p w14:paraId="25EB1F59" w14:textId="77777777" w:rsidR="00351D5B" w:rsidRPr="00536624" w:rsidRDefault="00267716" w:rsidP="00351D5B">
      <w:pPr>
        <w:spacing w:after="0" w:line="240" w:lineRule="auto"/>
        <w:ind w:right="-1" w:firstLine="567"/>
        <w:jc w:val="both"/>
        <w:rPr>
          <w:rFonts w:cstheme="minorHAnsi"/>
        </w:rPr>
      </w:pPr>
      <w:hyperlink r:id="rId27" w:history="1">
        <w:r w:rsidR="00351D5B" w:rsidRPr="00536624">
          <w:rPr>
            <w:rFonts w:cstheme="minorHAnsi"/>
            <w:color w:val="0000FF"/>
            <w:u w:val="single"/>
          </w:rPr>
          <w:t>Prieiga internete</w:t>
        </w:r>
      </w:hyperlink>
    </w:p>
    <w:p w14:paraId="481E53DA"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4E83A6B7"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birželio 30 d. sprendimas byloje</w:t>
      </w:r>
    </w:p>
    <w:p w14:paraId="2B9F9020" w14:textId="77777777" w:rsidR="00351D5B" w:rsidRPr="00536624" w:rsidRDefault="00351D5B" w:rsidP="00351D5B">
      <w:pPr>
        <w:pStyle w:val="Antrat2"/>
        <w:ind w:right="-1" w:firstLine="0"/>
        <w:jc w:val="center"/>
        <w:rPr>
          <w:rFonts w:eastAsia="Calibri" w:cstheme="minorHAnsi"/>
          <w:i/>
        </w:rPr>
      </w:pPr>
      <w:bookmarkStart w:id="41" w:name="_Toc52184455"/>
      <w:proofErr w:type="spellStart"/>
      <w:r w:rsidRPr="00536624">
        <w:rPr>
          <w:rFonts w:eastAsia="Calibri" w:cstheme="minorHAnsi"/>
          <w:i/>
        </w:rPr>
        <w:t>Cimperšek</w:t>
      </w:r>
      <w:proofErr w:type="spellEnd"/>
      <w:r w:rsidRPr="00536624">
        <w:rPr>
          <w:rFonts w:eastAsia="Calibri" w:cstheme="minorHAnsi"/>
          <w:i/>
        </w:rPr>
        <w:t xml:space="preserve"> prieš Slovėniją</w:t>
      </w:r>
      <w:bookmarkEnd w:id="41"/>
    </w:p>
    <w:p w14:paraId="2368E6B5"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58512/16</w:t>
      </w:r>
      <w:r w:rsidRPr="00536624">
        <w:rPr>
          <w:rFonts w:cstheme="minorHAnsi"/>
          <w:b/>
        </w:rPr>
        <w:t>, svarbos lygis – 2</w:t>
      </w:r>
      <w:r w:rsidRPr="00536624">
        <w:rPr>
          <w:rFonts w:eastAsia="Times New Roman" w:cstheme="minorHAnsi"/>
          <w:b/>
        </w:rPr>
        <w:t>)</w:t>
      </w:r>
    </w:p>
    <w:p w14:paraId="0A676162" w14:textId="77777777" w:rsidR="00351D5B" w:rsidRPr="00536624" w:rsidRDefault="00351D5B" w:rsidP="00351D5B">
      <w:pPr>
        <w:shd w:val="clear" w:color="auto" w:fill="FFFFFF"/>
        <w:spacing w:after="0" w:line="240" w:lineRule="auto"/>
        <w:ind w:right="-1" w:firstLine="567"/>
        <w:jc w:val="center"/>
        <w:rPr>
          <w:rFonts w:eastAsia="Times New Roman" w:cstheme="minorHAnsi"/>
          <w:b/>
          <w:bCs/>
          <w:color w:val="000000"/>
        </w:rPr>
      </w:pPr>
    </w:p>
    <w:p w14:paraId="3B0FA5D9"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42" w:name="_Toc52184456"/>
      <w:r w:rsidRPr="00536624">
        <w:rPr>
          <w:rFonts w:eastAsia="Calibri" w:cstheme="minorHAnsi"/>
          <w:bCs/>
          <w:iCs/>
          <w:szCs w:val="22"/>
        </w:rPr>
        <w:t>Dėl atsisakymo suteikti teismo eksperto vardą asmeniui už pastarojo kritiką valstybės institucijoms</w:t>
      </w:r>
      <w:bookmarkEnd w:id="42"/>
    </w:p>
    <w:p w14:paraId="625A46FA"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p>
    <w:p w14:paraId="3C61DA29"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10FB1B9B" w14:textId="77777777" w:rsidR="00351D5B" w:rsidRPr="00536624" w:rsidRDefault="00351D5B" w:rsidP="00351D5B">
      <w:pPr>
        <w:spacing w:after="0" w:line="240" w:lineRule="auto"/>
        <w:ind w:right="-1" w:firstLine="567"/>
        <w:rPr>
          <w:rFonts w:cstheme="minorHAnsi"/>
        </w:rPr>
      </w:pPr>
    </w:p>
    <w:p w14:paraId="0C5ED271" w14:textId="77777777" w:rsidR="00351D5B" w:rsidRPr="00536624" w:rsidRDefault="00351D5B" w:rsidP="00351D5B">
      <w:pPr>
        <w:spacing w:after="0" w:line="240" w:lineRule="auto"/>
        <w:ind w:right="-1" w:firstLine="567"/>
        <w:jc w:val="both"/>
        <w:rPr>
          <w:rFonts w:cstheme="minorHAnsi"/>
        </w:rPr>
      </w:pPr>
      <w:r w:rsidRPr="00536624">
        <w:rPr>
          <w:rFonts w:cstheme="minorHAnsi"/>
        </w:rPr>
        <w:t>Pareiškėjas siekė teismo eksperto vardo. Išlaikęs atitinkamus egzaminus buvo pakviestas duoti priesaiką, tačiau Teisingumo ministro sprendimu pastarojo kandidatūra atmesta pripažįstant pareiškėją netinkamu minėtai pozicijai. Priimdamas tokį sprendimą, ministras rėmėsi pareiškėjo internetinio dienoraščio („</w:t>
      </w:r>
      <w:proofErr w:type="spellStart"/>
      <w:r w:rsidRPr="00536624">
        <w:rPr>
          <w:rFonts w:cstheme="minorHAnsi"/>
        </w:rPr>
        <w:t>blog</w:t>
      </w:r>
      <w:proofErr w:type="spellEnd"/>
      <w:r w:rsidRPr="00536624">
        <w:rPr>
          <w:rFonts w:cstheme="minorHAnsi"/>
        </w:rPr>
        <w:t>“) ir skundų turiniu apie vėluojantį ministerijos darbą bei priesaikos davimo ceremonijos atidėjimą.</w:t>
      </w:r>
    </w:p>
    <w:p w14:paraId="2CBBF751" w14:textId="77777777" w:rsidR="00351D5B" w:rsidRPr="00536624" w:rsidRDefault="00351D5B" w:rsidP="00351D5B">
      <w:pPr>
        <w:spacing w:after="0" w:line="240" w:lineRule="auto"/>
        <w:ind w:right="-1" w:firstLine="567"/>
        <w:jc w:val="both"/>
        <w:rPr>
          <w:rFonts w:cstheme="minorHAnsi"/>
        </w:rPr>
      </w:pPr>
      <w:r w:rsidRPr="00536624">
        <w:rPr>
          <w:rFonts w:cstheme="minorHAnsi"/>
        </w:rPr>
        <w:t>Nesėkmingai bandęs apskųsti Teisingumo ministro sprendimą nacionaliniuose administraciniuose teismuose, pareiškėjas kreipėsi į Teismą (be kita ko) teigdamas, kad, atmetus jo prašymą suteikti teismo eksperto vardą dėl jo tinklaraštyje pareikštos nuomonės, buvo pažeistas Konvencijos 10 straipsnis.</w:t>
      </w:r>
    </w:p>
    <w:p w14:paraId="420BB618" w14:textId="77777777" w:rsidR="00351D5B" w:rsidRPr="00536624" w:rsidRDefault="00351D5B" w:rsidP="00351D5B">
      <w:pPr>
        <w:spacing w:after="0" w:line="240" w:lineRule="auto"/>
        <w:ind w:right="-1" w:firstLine="567"/>
        <w:jc w:val="both"/>
        <w:rPr>
          <w:rFonts w:cstheme="minorHAnsi"/>
        </w:rPr>
      </w:pPr>
    </w:p>
    <w:p w14:paraId="56557E20"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28D46F70" w14:textId="77777777" w:rsidR="00351D5B" w:rsidRPr="00536624" w:rsidRDefault="00351D5B" w:rsidP="00351D5B">
      <w:pPr>
        <w:spacing w:after="0" w:line="240" w:lineRule="auto"/>
        <w:ind w:right="-1" w:firstLine="567"/>
        <w:jc w:val="both"/>
        <w:rPr>
          <w:rFonts w:cstheme="minorHAnsi"/>
        </w:rPr>
      </w:pPr>
    </w:p>
    <w:p w14:paraId="78C3DF0B" w14:textId="77777777" w:rsidR="00351D5B" w:rsidRPr="00536624" w:rsidRDefault="00351D5B" w:rsidP="00351D5B">
      <w:pPr>
        <w:spacing w:after="0" w:line="240" w:lineRule="auto"/>
        <w:ind w:right="-1" w:firstLine="567"/>
        <w:jc w:val="both"/>
        <w:rPr>
          <w:rFonts w:cstheme="minorHAnsi"/>
        </w:rPr>
      </w:pPr>
      <w:r w:rsidRPr="00536624">
        <w:rPr>
          <w:rFonts w:cstheme="minorHAnsi"/>
        </w:rPr>
        <w:t>Teismas pirmiausia pažymėjo, jog teismo ekspertai padeda teismams ir šiuo aspektu jie yra valstybės tarnybos dalis vykdant teisingumą. Tad atsižvelgdamas į tai bei į Vyriausybės prieštaravimus apie tai, jog teismo eksperto vardo nesuteikimas nepatenka į Konvencijos 10 straipsnio taikymo sritį, Teismas nurodė, kad šiuo atveju būtina išsiaiškinti, ar ginčijama priemonė (pareiškėjo prašymo atmetimas) buvo kišimasis į jo žodžio laisvės įgyvendinimą, ar tai yra teisės į valstybės tarnybą dalis, kas nepatenka į Konvencijos ir jos protokolų taikymo sritį.</w:t>
      </w:r>
    </w:p>
    <w:p w14:paraId="0D50B484"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Pasisakydamas šiuo aspektu, Teismas pabrėžė, jog šioje byloje nekeliamas ginčas dėl pareiškėjo teisės į valstybės tarnybą, o pareiškėjas ir neskundė to, kad valdžios institucijos atsisakė paskirti jį teismo ekspertu, tačiau ginčija tai, kad Teisingumo ministro sprendimas yra jo nubaudimas už saviraiškos laisvės, garantuojamos Konvencijos 10 straipsnyje, įgyvendinimą. </w:t>
      </w:r>
    </w:p>
    <w:p w14:paraId="6C29E7D2" w14:textId="53C1A72E" w:rsidR="00351D5B" w:rsidRPr="00536624" w:rsidRDefault="00351D5B" w:rsidP="00351D5B">
      <w:pPr>
        <w:spacing w:after="0" w:line="240" w:lineRule="auto"/>
        <w:ind w:right="-1" w:firstLine="567"/>
        <w:jc w:val="both"/>
        <w:rPr>
          <w:rFonts w:cstheme="minorHAnsi"/>
        </w:rPr>
      </w:pPr>
      <w:r w:rsidRPr="00536624">
        <w:rPr>
          <w:rFonts w:cstheme="minorHAnsi"/>
        </w:rPr>
        <w:t>Teismas nurodė, kad iš jo praktikos išplaukia, kad nors susitariančios valstybės nenorėjo įsipareigoti pagal Konvenciją ir jos protokolus pripažinti teisę į valstybės tarnybą, jos vis dėlto  privalo netrukdyti šiai teisei pagal Konvencijos 1 straipsnį. Atsižvelgiant į tai, tikslinga nubrėžti paraleles tarp Teismo praktikos taikant „privataus gyvenimo“ koncepciją ir su užimtumu susijusioms situacijom</w:t>
      </w:r>
      <w:r w:rsidR="0057622D">
        <w:rPr>
          <w:rFonts w:cstheme="minorHAnsi"/>
        </w:rPr>
        <w:t>s pagal Konvencijos 8 straipsnį</w:t>
      </w:r>
      <w:r w:rsidRPr="00536624">
        <w:rPr>
          <w:rFonts w:cstheme="minorHAnsi"/>
        </w:rPr>
        <w:t>, įskaitant galimybės įsidarbinti valstybės tarnyboje ribojimus. Pagal 8 straipsnį skundai, susiję su profesinių funkcijų vykdymu, patenka į „privataus gyvenimo“ sritį, kai su privačiu gyvenimu susiję faktoriai yra laikomi atitinkamos funkcijos kvalifikaciniais kriterijais ir kai ginčijama priemonė grindžiama priežastimis, kuriomis kėsinamasi į asmens pasirinkimo laisvę privataus gyvenimo srityje.</w:t>
      </w:r>
    </w:p>
    <w:p w14:paraId="1EAF4227" w14:textId="53DC9834" w:rsidR="00351D5B" w:rsidRPr="00536624" w:rsidRDefault="00351D5B" w:rsidP="00351D5B">
      <w:pPr>
        <w:spacing w:after="0" w:line="240" w:lineRule="auto"/>
        <w:ind w:right="-1" w:firstLine="567"/>
        <w:jc w:val="both"/>
        <w:rPr>
          <w:rFonts w:cstheme="minorHAnsi"/>
        </w:rPr>
      </w:pPr>
      <w:r w:rsidRPr="00536624">
        <w:rPr>
          <w:rFonts w:cstheme="minorHAnsi"/>
        </w:rPr>
        <w:lastRenderedPageBreak/>
        <w:t>EŽTT atkreipė dėmesį į šiuos svarbius a</w:t>
      </w:r>
      <w:r w:rsidR="0057622D">
        <w:rPr>
          <w:rFonts w:cstheme="minorHAnsi"/>
        </w:rPr>
        <w:t>sp</w:t>
      </w:r>
      <w:r w:rsidRPr="00536624">
        <w:rPr>
          <w:rFonts w:cstheme="minorHAnsi"/>
        </w:rPr>
        <w:t xml:space="preserve">ektus: pareiškėjas išlaikė teismo eksperto egzaminą ir jau buvo pakviestas prisiekti, tačiau ministras ginčijamą sprendimą grindė išimtinai pareiškėjo </w:t>
      </w:r>
      <w:proofErr w:type="spellStart"/>
      <w:r w:rsidRPr="00536624">
        <w:rPr>
          <w:rFonts w:cstheme="minorHAnsi"/>
        </w:rPr>
        <w:t>tiklaraščio</w:t>
      </w:r>
      <w:proofErr w:type="spellEnd"/>
      <w:r w:rsidRPr="00536624">
        <w:rPr>
          <w:rFonts w:cstheme="minorHAnsi"/>
        </w:rPr>
        <w:t xml:space="preserve"> ir elektroninių laiškų turiniu, kuriuose kritikuotas priesaikos ceremonijos atidėjimas. Iš čia išplaukia, jog esminiai sprendimo elementai yra susiję su saviraiškos laisvės įgyvendinimu. Teismas pažymi, jog negali sutikti su Vyriausybės argumentu, kad ministras šiuo atveju vertino tai, ar pareiškėjas įvykdė teismo eksperto vardui keliamus reikalavimus, nes neigiamos pasekmės pareiškėjui kilo būtent įgyvendinat pastarajam pagrindinius saviraiškos laisvės elementus. Be to, pareiškėjo kandidatūros atmetimas galėjo turėti ir atgrasomąjį efektą tiems, kurie būtų siekę įgyvendinti teisę į saviraišką bei norintiems tapti teismo ekspertais. Teismas priėjo išvadą, jog atmetus pareiškėjo prašymą, buvo kišamasi į jo žodžio laisvę, kurią garantuoją Konvencijos 10 straipsnio 1 dalis. </w:t>
      </w:r>
    </w:p>
    <w:p w14:paraId="44898425" w14:textId="4E03DBDB" w:rsidR="00351D5B" w:rsidRPr="00536624" w:rsidRDefault="00351D5B" w:rsidP="00351D5B">
      <w:pPr>
        <w:spacing w:after="0" w:line="240" w:lineRule="auto"/>
        <w:ind w:right="-1" w:firstLine="567"/>
        <w:jc w:val="both"/>
        <w:rPr>
          <w:rFonts w:cstheme="minorHAnsi"/>
        </w:rPr>
      </w:pPr>
      <w:r w:rsidRPr="00536624">
        <w:rPr>
          <w:rFonts w:cstheme="minorHAnsi"/>
        </w:rPr>
        <w:t>Teismas be kita ko pabrėžė, jog ministras savo sprendimą dėl pareiškėjo grindė elektroniniuose laiškuose bei tinklaraštyje</w:t>
      </w:r>
      <w:r w:rsidR="0057622D">
        <w:rPr>
          <w:rFonts w:cstheme="minorHAnsi"/>
        </w:rPr>
        <w:t xml:space="preserve"> padarytais </w:t>
      </w:r>
      <w:r w:rsidR="0057622D" w:rsidRPr="00536624">
        <w:rPr>
          <w:rFonts w:cstheme="minorHAnsi"/>
        </w:rPr>
        <w:t>įrašais</w:t>
      </w:r>
      <w:r w:rsidRPr="00536624">
        <w:rPr>
          <w:rFonts w:cstheme="minorHAnsi"/>
        </w:rPr>
        <w:t xml:space="preserve">, kuriais laikė įžeidžiančiais, tačiau jokiu konkrečiu įrašu ministras nesirėmė, taip pat jokiu būdu nenurodė, kodėl įrašus laikė įžeidžiančiais. Tokio argumentavimo nebuvimas turi ypatingą svarbą, nes tik prieš kelias dienas ministras </w:t>
      </w:r>
      <w:r w:rsidR="0057622D">
        <w:rPr>
          <w:rFonts w:cstheme="minorHAnsi"/>
        </w:rPr>
        <w:t>buvo nusprendęs</w:t>
      </w:r>
      <w:r w:rsidRPr="00536624">
        <w:rPr>
          <w:rFonts w:cstheme="minorHAnsi"/>
        </w:rPr>
        <w:t xml:space="preserve">, jog nėra jokių kliūčių pareiškėją skirti teismo ekspertu. </w:t>
      </w:r>
    </w:p>
    <w:p w14:paraId="6A9F5F33" w14:textId="7E6DB305" w:rsidR="00351D5B" w:rsidRPr="00536624" w:rsidRDefault="00351D5B" w:rsidP="00351D5B">
      <w:pPr>
        <w:spacing w:after="0" w:line="240" w:lineRule="auto"/>
        <w:ind w:right="-1" w:firstLine="567"/>
        <w:jc w:val="both"/>
        <w:rPr>
          <w:rFonts w:cstheme="minorHAnsi"/>
        </w:rPr>
      </w:pPr>
      <w:r w:rsidRPr="00536624">
        <w:rPr>
          <w:rFonts w:cstheme="minorHAnsi"/>
        </w:rPr>
        <w:t xml:space="preserve">Įvertinęs tai, jog administracinis teismas pareiškėjo argumentų dėl saviraiškos laisvės suvaržymo nenagrinėjo, Teismas </w:t>
      </w:r>
      <w:r w:rsidR="0057622D">
        <w:rPr>
          <w:rFonts w:cstheme="minorHAnsi"/>
        </w:rPr>
        <w:t>konstatavo</w:t>
      </w:r>
      <w:r w:rsidRPr="00536624">
        <w:rPr>
          <w:rFonts w:cstheme="minorHAnsi"/>
        </w:rPr>
        <w:t>, kad ginčijamas kišimasis į pareiškėjo teisę naudotis žodžio laisve nebuvo veiksmingai ir t</w:t>
      </w:r>
      <w:r w:rsidR="0057622D">
        <w:rPr>
          <w:rFonts w:cstheme="minorHAnsi"/>
        </w:rPr>
        <w:t>inkamai ginamas teisme. K</w:t>
      </w:r>
      <w:r w:rsidRPr="00536624">
        <w:rPr>
          <w:rFonts w:cstheme="minorHAnsi"/>
        </w:rPr>
        <w:t xml:space="preserve">andidato į teismo ekspertus elgesys gali sukelti pagrįstų abejonių, ar jis atliks darbą nešališkai ir stropiai, tačiau šiuo atveju nei ministro sprendime, nei teismo sprendime nebuvo motyvų, kodėl pareiškėjo elgesys nesuderinamas su teismo eksperto darbu. Todėl Teismas </w:t>
      </w:r>
      <w:r w:rsidR="0057622D">
        <w:rPr>
          <w:rFonts w:cstheme="minorHAnsi"/>
        </w:rPr>
        <w:t>nepritarė</w:t>
      </w:r>
      <w:r w:rsidRPr="00536624">
        <w:rPr>
          <w:rFonts w:cstheme="minorHAnsi"/>
        </w:rPr>
        <w:t xml:space="preserve"> Vyriausybės argumentui, kad pareiškėjo prašymo atmetimas buvo būtinas siekiant užtikrinti moralę ir teismo ekspertų reputaciją bei apsaugoti teismų autoritetą bei nešališkumą.</w:t>
      </w:r>
    </w:p>
    <w:p w14:paraId="7F14069C"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Atsižvelgiant į tai, kas išdėstyta, Teismas priėjo prie išvados, jog kišimasis į pareiškėjo saviraiškos laisvę nebuvo „būtinas demokratinėje visuomenėje“. </w:t>
      </w:r>
    </w:p>
    <w:p w14:paraId="3E4E7BC5" w14:textId="77777777" w:rsidR="00351D5B" w:rsidRPr="00536624" w:rsidRDefault="00351D5B" w:rsidP="00351D5B">
      <w:pPr>
        <w:spacing w:after="0" w:line="240" w:lineRule="auto"/>
        <w:ind w:right="-1"/>
        <w:jc w:val="both"/>
        <w:rPr>
          <w:rFonts w:cstheme="minorHAnsi"/>
        </w:rPr>
      </w:pPr>
    </w:p>
    <w:p w14:paraId="63EEFA06" w14:textId="77777777" w:rsidR="00351D5B" w:rsidRPr="00536624" w:rsidRDefault="00351D5B" w:rsidP="00351D5B">
      <w:pPr>
        <w:spacing w:after="0" w:line="240" w:lineRule="auto"/>
        <w:ind w:right="-1" w:firstLine="567"/>
        <w:jc w:val="both"/>
        <w:rPr>
          <w:rFonts w:cstheme="minorHAnsi"/>
        </w:rPr>
      </w:pPr>
      <w:r w:rsidRPr="00536624">
        <w:rPr>
          <w:rFonts w:cstheme="minorHAnsi"/>
        </w:rPr>
        <w:t>Išvada: nustatytas Konvencijos 10 straipsnio pažeidimas (vienbalsiai). Dėl žodinio bylos nagrinėjimo administraciniame teisme nebuvimo nustatytas ir Konvencijos 6 straipsnio 1 dalies pažeidimas (vienbalsiai).</w:t>
      </w:r>
    </w:p>
    <w:p w14:paraId="61FAA0A1" w14:textId="5179B470" w:rsidR="00351D5B" w:rsidRPr="00536624" w:rsidRDefault="00351D5B" w:rsidP="00351D5B">
      <w:pPr>
        <w:spacing w:after="0" w:line="240" w:lineRule="auto"/>
        <w:ind w:right="-1" w:firstLine="567"/>
        <w:jc w:val="both"/>
        <w:rPr>
          <w:rFonts w:cstheme="minorHAnsi"/>
        </w:rPr>
      </w:pPr>
      <w:r w:rsidRPr="00536624">
        <w:rPr>
          <w:rFonts w:cstheme="minorHAnsi"/>
        </w:rPr>
        <w:t>41 straipsnis: priteista 15600 Eur neturtinės žalos atlyginimo.</w:t>
      </w:r>
    </w:p>
    <w:p w14:paraId="66F12245" w14:textId="77777777" w:rsidR="00351D5B" w:rsidRPr="00536624" w:rsidRDefault="00267716" w:rsidP="00351D5B">
      <w:pPr>
        <w:spacing w:after="0" w:line="240" w:lineRule="auto"/>
        <w:ind w:right="-1" w:firstLine="567"/>
        <w:jc w:val="both"/>
        <w:rPr>
          <w:rStyle w:val="Hipersaitas"/>
          <w:rFonts w:cstheme="minorHAnsi"/>
        </w:rPr>
      </w:pPr>
      <w:hyperlink r:id="rId28" w:history="1">
        <w:r w:rsidR="00351D5B" w:rsidRPr="00536624">
          <w:rPr>
            <w:rStyle w:val="Hipersaitas"/>
            <w:rFonts w:cstheme="minorHAnsi"/>
          </w:rPr>
          <w:t>Prieiga internete</w:t>
        </w:r>
      </w:hyperlink>
    </w:p>
    <w:p w14:paraId="44255AB3" w14:textId="77777777" w:rsidR="00351D5B" w:rsidRPr="00536624" w:rsidRDefault="00351D5B" w:rsidP="00351D5B">
      <w:pPr>
        <w:shd w:val="clear" w:color="auto" w:fill="FFFFFF"/>
        <w:spacing w:after="0" w:line="240" w:lineRule="auto"/>
        <w:ind w:right="-1"/>
        <w:jc w:val="center"/>
        <w:rPr>
          <w:rFonts w:cstheme="minorHAnsi"/>
        </w:rPr>
      </w:pPr>
    </w:p>
    <w:p w14:paraId="1B66153D" w14:textId="77777777" w:rsidR="00351D5B" w:rsidRPr="00536624" w:rsidRDefault="00351D5B" w:rsidP="00001422">
      <w:pPr>
        <w:pStyle w:val="Antrat1"/>
        <w:rPr>
          <w:rFonts w:eastAsia="Times New Roman"/>
        </w:rPr>
      </w:pPr>
      <w:bookmarkStart w:id="43" w:name="_Toc52184457"/>
      <w:r w:rsidRPr="00536624">
        <w:rPr>
          <w:rFonts w:eastAsia="Times New Roman"/>
        </w:rPr>
        <w:t>SUSIRINKIMŲ IR ASOCIACIJOS LAISVĖ (11 straipsnis)</w:t>
      </w:r>
      <w:bookmarkEnd w:id="43"/>
    </w:p>
    <w:p w14:paraId="364994B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FDBC664"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gegužės 5 d. sprendimas byloje</w:t>
      </w:r>
    </w:p>
    <w:p w14:paraId="6D56B8DA" w14:textId="77777777" w:rsidR="00351D5B" w:rsidRPr="00536624" w:rsidRDefault="00351D5B" w:rsidP="003460C1">
      <w:pPr>
        <w:pStyle w:val="Antrat2"/>
        <w:jc w:val="center"/>
        <w:rPr>
          <w:i/>
        </w:rPr>
      </w:pPr>
      <w:bookmarkStart w:id="44" w:name="_Toc52184458"/>
      <w:proofErr w:type="spellStart"/>
      <w:r w:rsidRPr="00536624">
        <w:rPr>
          <w:i/>
        </w:rPr>
        <w:t>Ignatencu</w:t>
      </w:r>
      <w:proofErr w:type="spellEnd"/>
      <w:r w:rsidRPr="00536624">
        <w:rPr>
          <w:i/>
        </w:rPr>
        <w:t xml:space="preserve"> et </w:t>
      </w:r>
      <w:proofErr w:type="spellStart"/>
      <w:r w:rsidRPr="00536624">
        <w:rPr>
          <w:i/>
        </w:rPr>
        <w:t>Parti</w:t>
      </w:r>
      <w:proofErr w:type="spellEnd"/>
      <w:r w:rsidRPr="00536624">
        <w:rPr>
          <w:i/>
        </w:rPr>
        <w:t xml:space="preserve"> </w:t>
      </w:r>
      <w:proofErr w:type="spellStart"/>
      <w:r w:rsidRPr="00536624">
        <w:rPr>
          <w:i/>
        </w:rPr>
        <w:t>communiste</w:t>
      </w:r>
      <w:proofErr w:type="spellEnd"/>
      <w:r w:rsidRPr="00536624">
        <w:rPr>
          <w:i/>
        </w:rPr>
        <w:t xml:space="preserve"> </w:t>
      </w:r>
      <w:proofErr w:type="spellStart"/>
      <w:r w:rsidRPr="00536624">
        <w:rPr>
          <w:i/>
        </w:rPr>
        <w:t>roumain</w:t>
      </w:r>
      <w:proofErr w:type="spellEnd"/>
      <w:r w:rsidRPr="00536624">
        <w:rPr>
          <w:i/>
        </w:rPr>
        <w:t xml:space="preserve"> (PCR) prieš Rumuniją</w:t>
      </w:r>
      <w:bookmarkEnd w:id="44"/>
    </w:p>
    <w:p w14:paraId="32FE6AD3"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78635/13, svarbos lygis – 2)</w:t>
      </w:r>
    </w:p>
    <w:p w14:paraId="6554DC38"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039139B2" w14:textId="77777777" w:rsidR="00351D5B" w:rsidRPr="00536624" w:rsidRDefault="00351D5B" w:rsidP="003061A6">
      <w:pPr>
        <w:pStyle w:val="Antrat3"/>
        <w:ind w:firstLine="567"/>
        <w:jc w:val="both"/>
      </w:pPr>
      <w:bookmarkStart w:id="45" w:name="_Toc52184459"/>
      <w:r w:rsidRPr="00536624">
        <w:t>Dėl atsisakymo įregistruoti politinę partiją, pasiskelbusią komunistų partijos, likviduotos 1989 metais dėl totalitarinio režimo vykdymo, tęsėja</w:t>
      </w:r>
      <w:bookmarkEnd w:id="45"/>
    </w:p>
    <w:p w14:paraId="755F23F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5DF3FE24"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7469A07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133ECD74" w14:textId="450BFCA3"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Rumunijos komunistų partija (toliau – PCR) buvo suformuota 1921 m. gegužės 8–12 d. Laikotarpiu nuo 1947 metų iki 1989 metų PCR buvo vienintelė oficiali partija, veikianti Rumunijoje, kuri </w:t>
      </w:r>
      <w:r w:rsidRPr="00536624">
        <w:rPr>
          <w:rFonts w:eastAsia="Times New Roman" w:cstheme="minorHAnsi"/>
          <w:i/>
          <w:color w:val="000000"/>
        </w:rPr>
        <w:t>de jure</w:t>
      </w:r>
      <w:r w:rsidRPr="00536624">
        <w:rPr>
          <w:rFonts w:eastAsia="Times New Roman" w:cstheme="minorHAnsi"/>
          <w:color w:val="000000"/>
        </w:rPr>
        <w:t xml:space="preserve"> valdė valstybę. 1989 m. gruodžio mėnesį įvykus susirėmima</w:t>
      </w:r>
      <w:r w:rsidR="0057622D">
        <w:rPr>
          <w:rFonts w:eastAsia="Times New Roman" w:cstheme="minorHAnsi"/>
          <w:color w:val="000000"/>
        </w:rPr>
        <w:t>m</w:t>
      </w:r>
      <w:r w:rsidRPr="00536624">
        <w:rPr>
          <w:rFonts w:eastAsia="Times New Roman" w:cstheme="minorHAnsi"/>
          <w:color w:val="000000"/>
        </w:rPr>
        <w:t xml:space="preserve">s, valstybėje buvo įvestas demokratinis režimas. 1989 m. gruodžio 27 d. dekreto-įstatymo 10 straipsnyje įtvirtinta, jog visos totalitarinio režimo sukurtos struktūros yra likviduojamos. 2010 m. susirinko Komitetas Rumunijos komunistų partijai reorganizuoti (toliau – Komitetas 1), kuriame Petre </w:t>
      </w:r>
      <w:proofErr w:type="spellStart"/>
      <w:r w:rsidRPr="00536624">
        <w:rPr>
          <w:rFonts w:eastAsia="Times New Roman" w:cstheme="minorHAnsi"/>
          <w:color w:val="000000"/>
        </w:rPr>
        <w:t>Ignatencu</w:t>
      </w:r>
      <w:proofErr w:type="spellEnd"/>
      <w:r w:rsidRPr="00536624">
        <w:rPr>
          <w:rFonts w:eastAsia="Times New Roman" w:cstheme="minorHAnsi"/>
          <w:color w:val="000000"/>
        </w:rPr>
        <w:t xml:space="preserve"> (pirmasis pareiškėjas) buvo išrinktas prezidentu, taip pat patvirtintas PCR (antrasis pareiškėjas) statutas ir politinė programa. </w:t>
      </w:r>
    </w:p>
    <w:p w14:paraId="6B5CA04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Pareiškėjai nesėkmingai per nacionalinius teismus bandė įrašyti PCR į politinių partijų sąrašą. </w:t>
      </w:r>
    </w:p>
    <w:p w14:paraId="5B7E768C"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Remdamiesi Konvencijos 7, 9, 10, 11 ir 14 straipsniais bei Konvencijos 12 protokolo 1 straipsniu, pareiškėjai kreipėsi į Teismą, teigdami, jog vidaus teismai atsisakydami tenkinti jų prašymą įrašyti antrąjį pareiškėją į politinių partijų sąrašą pažeidė jų teisę į asociacijų laisvę.</w:t>
      </w:r>
    </w:p>
    <w:p w14:paraId="1D96CB47"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3D012448"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6FD9AE8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0D0A539B" w14:textId="0D3E13B6"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pažymėjo, kad nacionaliniai teismai sprendimą atsisakyti registruoti a</w:t>
      </w:r>
      <w:r w:rsidR="00FA5D3F">
        <w:rPr>
          <w:rFonts w:eastAsia="Times New Roman" w:cstheme="minorHAnsi"/>
          <w:color w:val="000000"/>
        </w:rPr>
        <w:t>ntrąjį pareiškėją pagrindė dvejomis</w:t>
      </w:r>
      <w:r w:rsidRPr="00536624">
        <w:rPr>
          <w:rFonts w:eastAsia="Times New Roman" w:cstheme="minorHAnsi"/>
          <w:color w:val="000000"/>
        </w:rPr>
        <w:t xml:space="preserve"> argumentų grupėmis: pirma, Apeliacinis teismas rėmėsi formaliomis priežastimis, kad pareiškėjai nesuformulavo teisinį reguliavimą atitinkančio reikalavimo; antra, teismai savo poziciją susiejo su antrojo pareiškėjo statutu ir politine programa, kurią įvertino pagal įstatymus Nr. 14/2003 ir Nr. 51/1991 bei Konstituciją. </w:t>
      </w:r>
    </w:p>
    <w:p w14:paraId="603628DD"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Pasisakydamas dėl pirmosios argumentų grupės, Teismas nustatė, jog įstatyme Nr. 14/2003 aiškiai apibrėžti atvejai, kada gali būti įregistruojamos politinės partijos: arba siekiama sukurti naują politinę partiją, arba reorganizuoti politinę grupę, kuri anksčiau buvo teisėtai įsteigta. Pareiškėjų reikalavimas neatitiko nė vieno iš šių atvejų. Byloje nėra duomenų, patvirtinančių, kad PCR veikė po 1989 m. gruodžio mėnesio ir buvo įregistruota politinių partijų sąraše teisės aktų numatyta tvarka. Be to, pirmasis teisės aktas, reglamentuojantis politinį pliuralizmą demokratinėje santvarkoje, buvo priimtas 1989 m. gruodžio mėnesį. PCR egzistavo iki demokratinio režimo Rumunijoje įkūrimo. Atsižvelgiant į Rumunijos istorinį kontekstą, sprendimas neleisti atkurti politines struktūras, kurios niekada teisėtai neveikė demokratiniame režime, nelaikytinas neprotingu. Siekiant užtikrinti parašų autentiškumą, reikalavimas parašų sąrašą sudariusiam asmeniui pateikti pranešimą dėl atsakomybės taip pat nelaikytinas nesuderinamu su protingumo kriterijumi. Teismo vertinimu, nagrinėjamu atveju įtvirtinti formalūs reikalavimai, kurių pareiškėjai neįvykdė, yra neutralaus pobūdžio ir nėra nukreipti būtent į antrąjį pareiškėją, siekiant nubausti politinę partiją už jos ginamas nuomones ar politikos kryptis. Taigi, formalios priežastys, kuriomis buvo grindžiamas atsisakymas įregistruoti antrąjį pareiškėją, buvo aktualios ir pakankamos, proporcingos siekiamam tikslui.</w:t>
      </w:r>
    </w:p>
    <w:p w14:paraId="18CA9209"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akcentavo, jog Rumunijos istorinis kontekstas (totalitarinis režimas iki 1989 metų) savaime nepateisina Konvencijos 10 straipsnyje įtvirtintų teisių apribojimo. Šiuo atveju pareiškėjai tvirtino siekiantys pratęsti politinės partijos, kuri valdė šalį panaudodama totalitarinį režimą ir buvo nuversta 1989 m. gruodžio mėnesį, veiklą. Nors pareiškėjai patvirtino naują politinę programą ir statutą, teigdami, jog jie siekia perimti tik kai kurias senosios PCR dalis, jie kartu nurodė, jog antrasis pareiškėjas siekia pratęsti ankstesniąją politinę partiją. Teismas pastebėjo ir tai, kad Rumunijoje egzistuoja partijos, savo veiklą grindžiančios komunizmo doktrina, taigi, pareiškėjai turi realią galimybę suformuoti komunistinę politinę partiją. Apeliacinės instancijos teismas detaliai paaiškino pareiškėjams, dėl kokių priežasčių jų prašymas neatitiko įstatymų Nr. 14/2003 ir Nr. 51/1991 bei Konstitucijos reikalavimų, kokios politinės programos ir statuto nuostatos nėra suderinamos su valstybės konstitucine ir teisine tvarka. Teismas padarė išvadą, kad nacionalinių teismų atliktas antrojo pareiškėjo statuto ir politinės programos turinio vertinimas nėra nepagrįstas. Teismų pritaikyta priemone buvo siekiama užkirsti kelią potencialiam savivaliavimui, kuris anksčiau pasireiškė tokioje politinėje struktūroje ir yra laikytinas teisinės valstybės bei demokratijos pagrindų principų pažeidimu. Pritaikyta priemonė buvo aktuali ir pakankama, proporcinga siekiamam teisėtam tikslui.</w:t>
      </w:r>
    </w:p>
    <w:p w14:paraId="2E511E64"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7907A1DD"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Konvencijos 11 straipsnio pažeidimas nenustatytas (vienbalsiai). </w:t>
      </w:r>
    </w:p>
    <w:p w14:paraId="34D99CB0" w14:textId="77777777" w:rsidR="00351D5B" w:rsidRPr="00536624" w:rsidRDefault="00267716" w:rsidP="00351D5B">
      <w:pPr>
        <w:spacing w:after="0" w:line="240" w:lineRule="auto"/>
        <w:ind w:right="-1" w:firstLine="567"/>
        <w:jc w:val="both"/>
        <w:rPr>
          <w:rFonts w:cstheme="minorHAnsi"/>
        </w:rPr>
      </w:pPr>
      <w:hyperlink r:id="rId29" w:history="1">
        <w:r w:rsidR="00351D5B" w:rsidRPr="00536624">
          <w:rPr>
            <w:rFonts w:cstheme="minorHAnsi"/>
            <w:color w:val="0000FF"/>
            <w:u w:val="single"/>
          </w:rPr>
          <w:t>Prieiga internete</w:t>
        </w:r>
      </w:hyperlink>
    </w:p>
    <w:p w14:paraId="68156ADA" w14:textId="77777777" w:rsidR="00351D5B" w:rsidRPr="00536624" w:rsidRDefault="00351D5B" w:rsidP="00351D5B">
      <w:pPr>
        <w:shd w:val="clear" w:color="auto" w:fill="FFFFFF"/>
        <w:spacing w:after="0" w:line="240" w:lineRule="auto"/>
        <w:ind w:right="-1"/>
        <w:jc w:val="center"/>
        <w:rPr>
          <w:rFonts w:eastAsia="Times New Roman" w:cstheme="minorHAnsi"/>
          <w:b/>
          <w:color w:val="323E4F"/>
        </w:rPr>
      </w:pPr>
    </w:p>
    <w:p w14:paraId="54276924" w14:textId="77777777" w:rsidR="00351D5B" w:rsidRPr="00536624" w:rsidRDefault="00351D5B" w:rsidP="00001422">
      <w:pPr>
        <w:pStyle w:val="Antrat1"/>
        <w:rPr>
          <w:rFonts w:eastAsia="Times New Roman"/>
        </w:rPr>
      </w:pPr>
      <w:bookmarkStart w:id="46" w:name="_Toc52184460"/>
      <w:r w:rsidRPr="00536624">
        <w:rPr>
          <w:rFonts w:eastAsia="Times New Roman"/>
        </w:rPr>
        <w:t>TEISĖ Į VEIKSMINGĄ TEISINĖS GYNYBOS PRIEMONĘ (13 straipsnis)</w:t>
      </w:r>
      <w:bookmarkEnd w:id="46"/>
    </w:p>
    <w:p w14:paraId="06F95A2E"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270550DB"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Europos Žmogaus Teisių Teismo 2020 m. vasario 4 d. sprendimas byloje</w:t>
      </w:r>
    </w:p>
    <w:p w14:paraId="11FBB99A" w14:textId="77777777" w:rsidR="00351D5B" w:rsidRPr="00536624" w:rsidRDefault="00351D5B" w:rsidP="00351D5B">
      <w:pPr>
        <w:pStyle w:val="Antrat2"/>
        <w:ind w:right="-1" w:firstLine="0"/>
        <w:jc w:val="center"/>
        <w:rPr>
          <w:rFonts w:eastAsia="Calibri" w:cstheme="minorHAnsi"/>
          <w:i/>
        </w:rPr>
      </w:pPr>
      <w:bookmarkStart w:id="47" w:name="_Toc52184461"/>
      <w:r w:rsidRPr="00536624">
        <w:rPr>
          <w:rFonts w:eastAsia="Calibri" w:cstheme="minorHAnsi"/>
          <w:i/>
        </w:rPr>
        <w:t>Bastys prieš Lietuvą</w:t>
      </w:r>
      <w:bookmarkEnd w:id="47"/>
    </w:p>
    <w:p w14:paraId="010C0CD6" w14:textId="77777777" w:rsidR="00351D5B" w:rsidRPr="00536624" w:rsidRDefault="00351D5B" w:rsidP="00351D5B">
      <w:pPr>
        <w:shd w:val="clear" w:color="auto" w:fill="FFFFFF"/>
        <w:spacing w:after="0" w:line="240" w:lineRule="auto"/>
        <w:ind w:right="-1"/>
        <w:jc w:val="center"/>
        <w:rPr>
          <w:rFonts w:eastAsia="Times New Roman" w:cstheme="minorHAnsi"/>
          <w:b/>
        </w:rPr>
      </w:pPr>
      <w:r w:rsidRPr="00536624">
        <w:rPr>
          <w:rFonts w:eastAsia="Times New Roman" w:cstheme="minorHAnsi"/>
          <w:b/>
        </w:rPr>
        <w:t>(pareiškimo Nr. 80749/17</w:t>
      </w:r>
      <w:r w:rsidRPr="00536624">
        <w:rPr>
          <w:rFonts w:cstheme="minorHAnsi"/>
          <w:b/>
        </w:rPr>
        <w:t>, svarbos lygis – 2</w:t>
      </w:r>
      <w:r w:rsidRPr="00536624">
        <w:rPr>
          <w:rFonts w:eastAsia="Times New Roman" w:cstheme="minorHAnsi"/>
          <w:b/>
        </w:rPr>
        <w:t>)</w:t>
      </w:r>
    </w:p>
    <w:p w14:paraId="46551095" w14:textId="77777777" w:rsidR="00351D5B" w:rsidRPr="00536624" w:rsidRDefault="00351D5B" w:rsidP="00351D5B">
      <w:pPr>
        <w:shd w:val="clear" w:color="auto" w:fill="FFFFFF"/>
        <w:spacing w:after="0" w:line="240" w:lineRule="auto"/>
        <w:ind w:right="-1" w:firstLine="567"/>
        <w:jc w:val="center"/>
        <w:rPr>
          <w:rFonts w:eastAsia="Times New Roman" w:cstheme="minorHAnsi"/>
          <w:b/>
          <w:bCs/>
          <w:color w:val="000000"/>
        </w:rPr>
      </w:pPr>
    </w:p>
    <w:p w14:paraId="486A0FBA" w14:textId="77777777" w:rsidR="00351D5B" w:rsidRPr="00536624" w:rsidRDefault="00351D5B" w:rsidP="00351D5B">
      <w:pPr>
        <w:pStyle w:val="Antrat3"/>
        <w:spacing w:before="0" w:line="240" w:lineRule="auto"/>
        <w:ind w:right="-1" w:firstLine="567"/>
        <w:jc w:val="both"/>
        <w:rPr>
          <w:rFonts w:eastAsia="Calibri" w:cstheme="minorHAnsi"/>
          <w:bCs/>
          <w:iCs/>
          <w:szCs w:val="22"/>
        </w:rPr>
      </w:pPr>
      <w:bookmarkStart w:id="48" w:name="_Toc52184462"/>
      <w:r w:rsidRPr="00536624">
        <w:rPr>
          <w:rFonts w:eastAsia="Calibri" w:cstheme="minorHAnsi"/>
          <w:bCs/>
          <w:iCs/>
          <w:szCs w:val="22"/>
        </w:rPr>
        <w:t>Dėl veiksmingos teisinės gynybos priemonės siekiant apskųsti Lietuvos Respublikos valstybės saugumo departamento pažymoje suformuluotas išvadas</w:t>
      </w:r>
      <w:bookmarkEnd w:id="48"/>
    </w:p>
    <w:p w14:paraId="27EA3195" w14:textId="77777777" w:rsidR="00351D5B" w:rsidRPr="00536624" w:rsidRDefault="00351D5B" w:rsidP="00351D5B">
      <w:pPr>
        <w:spacing w:after="0" w:line="240" w:lineRule="auto"/>
        <w:ind w:right="-1" w:firstLine="567"/>
        <w:rPr>
          <w:rFonts w:cstheme="minorHAnsi"/>
        </w:rPr>
      </w:pPr>
    </w:p>
    <w:p w14:paraId="5E7CE0E4"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77CC7AC5" w14:textId="77777777" w:rsidR="00351D5B" w:rsidRPr="00536624" w:rsidRDefault="00351D5B" w:rsidP="00351D5B">
      <w:pPr>
        <w:spacing w:after="0" w:line="240" w:lineRule="auto"/>
        <w:ind w:right="-1" w:firstLine="567"/>
        <w:rPr>
          <w:rFonts w:cstheme="minorHAnsi"/>
        </w:rPr>
      </w:pPr>
    </w:p>
    <w:p w14:paraId="7A8EBFA3" w14:textId="77777777" w:rsidR="00351D5B" w:rsidRPr="00536624" w:rsidRDefault="00351D5B" w:rsidP="00351D5B">
      <w:pPr>
        <w:spacing w:after="0" w:line="240" w:lineRule="auto"/>
        <w:ind w:right="-1" w:firstLine="567"/>
        <w:jc w:val="both"/>
        <w:rPr>
          <w:rFonts w:cstheme="minorHAnsi"/>
        </w:rPr>
      </w:pPr>
      <w:r w:rsidRPr="00536624">
        <w:rPr>
          <w:rFonts w:cstheme="minorHAnsi"/>
        </w:rPr>
        <w:lastRenderedPageBreak/>
        <w:t xml:space="preserve">2016 m. spalį pareiškėjas M. Bastys perrinktas Lietuvos Respublikos Seimo nariu, tų pačių metų gruodį jis patvirtintas Seimo Pirmininko pavaduotoju. Atsižvelgiant į tai, kad Seimo Pirmininko pavaduotojas turi turėti leidimą dirbti ar susipažinti su įslaptinta informacija, žymima slaptumo žyma „Visiškai slaptai“, pradėta procedūra dėl tokio leidimo gavimo, t. y. Seimo Pirmininkas kreipėsi į Lietuvos Respublikos valstybės saugumo departamentą (toliau – VSD) dėl pareiškėjo galimybės gauti tokį leidimą. VSD, atlikęs pareiškėjo M. </w:t>
      </w:r>
      <w:proofErr w:type="spellStart"/>
      <w:r w:rsidRPr="00536624">
        <w:rPr>
          <w:rFonts w:cstheme="minorHAnsi"/>
        </w:rPr>
        <w:t>Basčio</w:t>
      </w:r>
      <w:proofErr w:type="spellEnd"/>
      <w:r w:rsidRPr="00536624">
        <w:rPr>
          <w:rFonts w:cstheme="minorHAnsi"/>
        </w:rPr>
        <w:t xml:space="preserve"> patikrinimą (įvertinęs pareiškėjo anketą ir du pokalbius, dėl kurių pareiškėjas išreiškė sutikimą), 2017 m. kovo 8 d. raštu informavo Seimo Pirmininką ir pareiškėją, kad atsižvelgiant į pareiškėjo patikrinimo metu surinktą informaciją ir šios informacijos vertinimą, VSD turi abejonių, ar pareiškėjas yra patikimas ir lojalus Lietuvos valstybei, todėl prieštarauja, kad pareiškėjui būtų išduotas minėtas leidimas. </w:t>
      </w:r>
    </w:p>
    <w:p w14:paraId="25B516B4" w14:textId="4E041D28" w:rsidR="00351D5B" w:rsidRPr="00536624" w:rsidRDefault="00351D5B" w:rsidP="00FA5D3F">
      <w:pPr>
        <w:spacing w:after="0" w:line="240" w:lineRule="auto"/>
        <w:ind w:right="-1" w:firstLine="567"/>
        <w:jc w:val="both"/>
        <w:rPr>
          <w:rFonts w:cstheme="minorHAnsi"/>
        </w:rPr>
      </w:pPr>
      <w:r w:rsidRPr="00536624">
        <w:rPr>
          <w:rFonts w:cstheme="minorHAnsi"/>
        </w:rPr>
        <w:t xml:space="preserve">2017 m. kovo 9 d. Seimo Pirmininkas, atsižvelgdamas į pirmiau minėtą VSD raštą, žodžiu pranešė pareiškėjui, kad nusprendė neišduoti jam leidimo dirbti ar susipažinti su įslaptinta informacija ir prašė jį atsistatydinti. 2017 m. kovo 10 d. Seimas, atsižvelgdamas į pareiškėjo atsistatydinimo pareiškimą, atleido jį iš Seimo Pirmininko pavaduotojo pareigų. Vėliau pareiškėjas kreipėsi į VSD prašydamas pateikti jam informaciją, kurios pagrindu buvo padarytos jam nepalankios išvados, tam kad galėtų apskųsti jas teismui. VSD prašymo netenkino nurodydamas, kad raštas iš dalies buvo grindžiamas įslaptinta informacija, su kuria pareiškėjas neturi teisės susipažinti, be to, tai tik tarpinis dokumentas, kuris negali būti ginčijamas teisme. Tuomet pareiškėjas kreipėsi į Seimo Pirmininką prašydamas išduoti jam Seimo Pirmininko rašytinį sprendimą neišduoti pareiškėjui leidimo dirbti ar susipažinti su įslaptinta informacija, siekdamas nuginčyti jį teisme, tačiau jam buvo atsakyta, kad pareiškėjas atsistatydino ir tuo metu nebeužėmė jokių pareigų, kurias užimantiems asmenims reikia leidimų dirbti ar susipažinti su įslaptinta informacija, todėl Seimo Pirmininkas negalėjo priimti sprendimo dėl leidimo M. </w:t>
      </w:r>
      <w:proofErr w:type="spellStart"/>
      <w:r w:rsidRPr="00536624">
        <w:rPr>
          <w:rFonts w:cstheme="minorHAnsi"/>
        </w:rPr>
        <w:t>Basčiui</w:t>
      </w:r>
      <w:proofErr w:type="spellEnd"/>
      <w:r w:rsidRPr="00536624">
        <w:rPr>
          <w:rFonts w:cstheme="minorHAnsi"/>
        </w:rPr>
        <w:t xml:space="preserve"> dirbti ar susipažinti su įslaptinta informacija išdavimo ar neišdavimo.</w:t>
      </w:r>
    </w:p>
    <w:p w14:paraId="2F34C2EB" w14:textId="0EDF75D4" w:rsidR="00351D5B" w:rsidRPr="00536624" w:rsidRDefault="00351D5B" w:rsidP="00351D5B">
      <w:pPr>
        <w:spacing w:after="0" w:line="240" w:lineRule="auto"/>
        <w:ind w:right="-1" w:firstLine="567"/>
        <w:jc w:val="both"/>
        <w:rPr>
          <w:rFonts w:cstheme="minorHAnsi"/>
        </w:rPr>
      </w:pPr>
      <w:r w:rsidRPr="00536624">
        <w:rPr>
          <w:rFonts w:cstheme="minorHAnsi"/>
        </w:rPr>
        <w:t xml:space="preserve">Pareiškėjas kreipėsi į Vilniaus apygardos administracinį teismą prašydamas, pirma, panaikinti minėtą VSD 2017 m. kovo 8 d. sprendimą kaip nepagrįstą, bei, antra, įpareigoti Seimo Pirmininką išduoti leidimą dirbti ar susipažinti su įslaptinta informacija, žymima slaptumo žyma „Visiškai slaptai“. Tiek pirmosios instancijos teismas (Vilniaus apygardos administracinis teismas), tiek Lietuvos vyriausiasis administracinis teismas (toliau ir – LVAT) pakartojo, kad nacionalinių teismų praktikoje pripažįstama, kad į administracinį teismą asmuo turi teisę kreiptis tik dėl jam teisines pasekmes sukeliančių individualių teisės aktų, priimtų viešojo administravimo srityje, t. y. darančių įtaką asmenų teisėms ar įstatymų saugomiems interesams. Tačiau tikrinimą atlikusio VSD išvada pagal savo pobūdį yra tarpinis procedūrinis sprendimas, priimamas administracinės procedūros eigoje, kuris nesukelia pareiškėjui materialinių teisinių pasekmių, todėl negali būti skundo administraciniame teisme dalykas. Dėl pareiškėjo antrojo reikalavimo įpareigoti Seimo Pirmininką išduoti leidimą dirbti ar susipažinti su įslaptinta informacija, žymima slaptumo žyma „Visiškai slaptai“, LVAT pažymėjo, kad administracinis teismas nagrinėja asmens skundą tik tada, kai yra kilęs viešojo administravimo srities ginčas, tačiau pareiškėjui neginčijant ir neprašant panaikinti paslapčių subjekto vadovo sprendimo neišduoti pareiškėjui leidimo dirbti ar susipažinti su įslaptinta informacija, žymima slaptumo žyma „Visiškai slaptai“, pareiškėjo skunde suformuluotas reikalavimas įpareigoti Seimo Pirmininką atlikti pareiškėjo prašomus veiksmus, kaip savarankiškas reikalavimas, nenagrinėtinas administracinių teismų. </w:t>
      </w:r>
    </w:p>
    <w:p w14:paraId="16268ECF" w14:textId="08130F9E" w:rsidR="00351D5B" w:rsidRPr="00536624" w:rsidRDefault="00351D5B" w:rsidP="00351D5B">
      <w:pPr>
        <w:spacing w:after="0" w:line="240" w:lineRule="auto"/>
        <w:ind w:right="-1" w:firstLine="567"/>
        <w:jc w:val="both"/>
        <w:rPr>
          <w:rFonts w:cstheme="minorHAnsi"/>
        </w:rPr>
      </w:pPr>
      <w:r w:rsidRPr="00536624">
        <w:rPr>
          <w:rFonts w:cstheme="minorHAnsi"/>
        </w:rPr>
        <w:t xml:space="preserve">Pareiškėjas, remdamasis Konvencijos 6 straipsnio 1 dalimi, 8 ir 13 </w:t>
      </w:r>
      <w:r w:rsidR="00FA5D3F">
        <w:rPr>
          <w:rFonts w:cstheme="minorHAnsi"/>
        </w:rPr>
        <w:t>straipsniais, kreipėsi į Teismą</w:t>
      </w:r>
      <w:r w:rsidRPr="00536624">
        <w:rPr>
          <w:rFonts w:cstheme="minorHAnsi"/>
        </w:rPr>
        <w:t xml:space="preserve"> tvirtindamas, kad jis neturėjo galimybės apsiginti nuo VSD rašte išdėstytų įtarimų.</w:t>
      </w:r>
    </w:p>
    <w:p w14:paraId="60416214"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p>
    <w:p w14:paraId="475C9306"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45812D63" w14:textId="77777777" w:rsidR="00351D5B" w:rsidRPr="00536624" w:rsidRDefault="00351D5B" w:rsidP="00351D5B">
      <w:pPr>
        <w:spacing w:after="0" w:line="240" w:lineRule="auto"/>
        <w:ind w:right="-1" w:firstLine="567"/>
        <w:jc w:val="both"/>
        <w:rPr>
          <w:rFonts w:cstheme="minorHAnsi"/>
        </w:rPr>
      </w:pPr>
    </w:p>
    <w:p w14:paraId="07B71180" w14:textId="77777777" w:rsidR="00351D5B" w:rsidRPr="00536624" w:rsidRDefault="00351D5B" w:rsidP="00351D5B">
      <w:pPr>
        <w:spacing w:after="0" w:line="240" w:lineRule="auto"/>
        <w:ind w:right="-1" w:firstLine="567"/>
        <w:jc w:val="both"/>
        <w:rPr>
          <w:rFonts w:cstheme="minorHAnsi"/>
        </w:rPr>
      </w:pPr>
      <w:r w:rsidRPr="00536624">
        <w:rPr>
          <w:rFonts w:cstheme="minorHAnsi"/>
        </w:rPr>
        <w:t>Teismas, remdamasis savo kompetencija nustatyti bylos faktinių aplinkybių teisinį pagrindą, nurodė, jog šis skundas bus nagrinėjamas pagal Konvencijos 13 straipsnį kartu su 8 straipsniu.</w:t>
      </w:r>
    </w:p>
    <w:p w14:paraId="15270982" w14:textId="5E4AE1CF" w:rsidR="00351D5B" w:rsidRPr="00536624" w:rsidRDefault="00351D5B" w:rsidP="00351D5B">
      <w:pPr>
        <w:spacing w:after="0" w:line="240" w:lineRule="auto"/>
        <w:ind w:right="-1" w:firstLine="567"/>
        <w:jc w:val="both"/>
        <w:rPr>
          <w:rFonts w:cstheme="minorHAnsi"/>
        </w:rPr>
      </w:pPr>
      <w:r w:rsidRPr="00536624">
        <w:rPr>
          <w:rFonts w:cstheme="minorHAnsi"/>
        </w:rPr>
        <w:t xml:space="preserve">EŽTT pirmiausia priminė, jog įsipareigojimo pagal Konvencijos 13 straipsnį taikymo sritis skiriasi atsižvelgiant į pareiškėjo skundo pobūdį, tačiau teisių gynimo priemonė bet kuriuo atveju turi būti „veiksminga“ tiek praktiškai, tiek teoriškai. Kas visų pirma reiškia, jog šios teisės įgyvendinimui nebūtų nepagrįstai kliudoma valstybės valdžios institucijų veiksmais ar neveikimu. Taip pat atkreiptas dėmesys į tai, jog teisinės gynybos priemonės veiksmingumas nepriklauso nuo pareiškėjui palankaus rezultato tikrumo. </w:t>
      </w:r>
    </w:p>
    <w:p w14:paraId="15A487F0"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Teismas pažymėjo, kad pagal pateiktus Vyriausybės duomenis pareiškėjui buvo suteiktos net trys skirtingos vidaus gynimo priemonės, siekiant apginti teisę į reputaciją: procesas Konstituciniame Teisme, procesas bendrosios kompetencijos teismuose bei procesas administraciniuose teismui. Tirdamas, ar šios </w:t>
      </w:r>
      <w:r w:rsidRPr="00536624">
        <w:rPr>
          <w:rFonts w:cstheme="minorHAnsi"/>
        </w:rPr>
        <w:lastRenderedPageBreak/>
        <w:t>teisinės gynybos priemonės galėtų būti laikomos veiksmingomis atsižvelgiant į pareiškėjo bylos aplinkybes, Teismas priėjo tokių išvadų.</w:t>
      </w:r>
    </w:p>
    <w:p w14:paraId="63FFAF25" w14:textId="77777777" w:rsidR="00351D5B" w:rsidRPr="00536624" w:rsidRDefault="00351D5B" w:rsidP="00351D5B">
      <w:pPr>
        <w:spacing w:after="0" w:line="240" w:lineRule="auto"/>
        <w:ind w:right="-1" w:firstLine="567"/>
        <w:jc w:val="both"/>
        <w:rPr>
          <w:rFonts w:cstheme="minorHAnsi"/>
        </w:rPr>
      </w:pPr>
    </w:p>
    <w:p w14:paraId="62EEF7AE" w14:textId="77777777" w:rsidR="00351D5B" w:rsidRPr="00536624" w:rsidRDefault="00351D5B" w:rsidP="00351D5B">
      <w:pPr>
        <w:spacing w:after="0" w:line="240" w:lineRule="auto"/>
        <w:ind w:right="-1" w:firstLine="567"/>
        <w:jc w:val="both"/>
        <w:rPr>
          <w:rFonts w:cstheme="minorHAnsi"/>
          <w:i/>
          <w:iCs/>
        </w:rPr>
      </w:pPr>
      <w:r w:rsidRPr="00536624">
        <w:rPr>
          <w:rFonts w:cstheme="minorHAnsi"/>
          <w:i/>
          <w:iCs/>
        </w:rPr>
        <w:t>Procesas Konstituciniame Teisme</w:t>
      </w:r>
    </w:p>
    <w:p w14:paraId="04A0B4DE" w14:textId="77777777" w:rsidR="00351D5B" w:rsidRPr="00536624" w:rsidRDefault="00351D5B" w:rsidP="00351D5B">
      <w:pPr>
        <w:spacing w:after="0" w:line="240" w:lineRule="auto"/>
        <w:ind w:right="-1" w:firstLine="567"/>
        <w:jc w:val="both"/>
        <w:rPr>
          <w:rFonts w:cstheme="minorHAnsi"/>
        </w:rPr>
      </w:pPr>
    </w:p>
    <w:p w14:paraId="24475648" w14:textId="77777777" w:rsidR="00351D5B" w:rsidRPr="00536624" w:rsidRDefault="00351D5B" w:rsidP="00351D5B">
      <w:pPr>
        <w:spacing w:after="0" w:line="240" w:lineRule="auto"/>
        <w:ind w:right="-1" w:firstLine="567"/>
        <w:jc w:val="both"/>
        <w:rPr>
          <w:rFonts w:cstheme="minorHAnsi"/>
        </w:rPr>
      </w:pPr>
      <w:r w:rsidRPr="00536624">
        <w:rPr>
          <w:rFonts w:cstheme="minorHAnsi"/>
        </w:rPr>
        <w:t>Šiame procese Konstitucinis Teismas tyrė, ar pareiškėjas pažeidė Konstituciją per patikrinimo procedūrą VSD neatskleisdamas savo ryšių su tam tikrais asmenimis. Vyriausybė teigė, kad šiame procese pareiškėjas sugebėjo iš esmės ginčyti tuos pačius kaltinimus, kurie buvo išdėstyti ginčijamoje VSD pažymoje. Teismas yra įsitikinęs, kad taip ir buvo, tačiau pažymi, jog pagal nacionalinę vidaus teisę tik Seimas turi įgaliojimus prašyti Konstitucinio Teismo ištirti, ar Seimo narys pažeidė Konstituciją. Šis procesas nebuvo tiesiogiai prieinamas pareiškėjui, todėl nelaikytinas veiksminga priemone Konvencijos prasme.</w:t>
      </w:r>
    </w:p>
    <w:p w14:paraId="5FC5D362" w14:textId="77777777" w:rsidR="00351D5B" w:rsidRPr="00536624" w:rsidRDefault="00351D5B" w:rsidP="00351D5B">
      <w:pPr>
        <w:spacing w:after="0" w:line="240" w:lineRule="auto"/>
        <w:ind w:right="-1" w:firstLine="567"/>
        <w:jc w:val="both"/>
        <w:rPr>
          <w:rFonts w:cstheme="minorHAnsi"/>
        </w:rPr>
      </w:pPr>
    </w:p>
    <w:p w14:paraId="434B3E87" w14:textId="77777777" w:rsidR="00351D5B" w:rsidRPr="00536624" w:rsidRDefault="00351D5B" w:rsidP="00351D5B">
      <w:pPr>
        <w:spacing w:after="0" w:line="240" w:lineRule="auto"/>
        <w:ind w:right="-1" w:firstLine="567"/>
        <w:jc w:val="both"/>
        <w:rPr>
          <w:rFonts w:cstheme="minorHAnsi"/>
          <w:i/>
          <w:iCs/>
        </w:rPr>
      </w:pPr>
      <w:r w:rsidRPr="00536624">
        <w:rPr>
          <w:rFonts w:cstheme="minorHAnsi"/>
          <w:i/>
          <w:iCs/>
        </w:rPr>
        <w:t>Procesas bendrosios kompetencijos teismuose</w:t>
      </w:r>
    </w:p>
    <w:p w14:paraId="38AA9869" w14:textId="77777777" w:rsidR="00351D5B" w:rsidRPr="00536624" w:rsidRDefault="00351D5B" w:rsidP="00351D5B">
      <w:pPr>
        <w:spacing w:after="0" w:line="240" w:lineRule="auto"/>
        <w:ind w:right="-1" w:firstLine="567"/>
        <w:jc w:val="both"/>
        <w:rPr>
          <w:rFonts w:cstheme="minorHAnsi"/>
        </w:rPr>
      </w:pPr>
    </w:p>
    <w:p w14:paraId="03A5C60C"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Vyriausybė teigė, kad pareiškėjui buvo suteikta galimybė inicijuoti civilinę bylą prieš VSD siekiant apsaugoti savo reputaciją. Šiuo aspektu Teismas pabrėžė, jog būtent Vyriausybė privalo įrodyti tokio siūlomo teisių gynimo būdo praktinį veiksmingumą konkrečiomis aplinkybėmis, pateikdama vidaus teismų praktikos ar administracinių institucijų sprendimų pavyzdžius, tačiau Teismui tokių pavydžių nebuvo pateikta. Dar daugiau, iki paskutinių pastabų pateikimo šioje byloje nė viena panaši byla vidaus teismuose nebuvo užbaigta galutiniu sprendimu. Atsižvelgiant į tai, Teismas laiko neįrodyta, jog pareiškėjui buvo praktiškai užtikrinta galimybė pateikti civilinį ieškinį prieš VSD bendrosios kompetencijos teismuose. </w:t>
      </w:r>
    </w:p>
    <w:p w14:paraId="09AB5BEE" w14:textId="77777777" w:rsidR="00351D5B" w:rsidRPr="00536624" w:rsidRDefault="00351D5B" w:rsidP="00351D5B">
      <w:pPr>
        <w:spacing w:after="0" w:line="240" w:lineRule="auto"/>
        <w:ind w:right="-1" w:firstLine="567"/>
        <w:jc w:val="both"/>
        <w:rPr>
          <w:rFonts w:cstheme="minorHAnsi"/>
        </w:rPr>
      </w:pPr>
    </w:p>
    <w:p w14:paraId="0DF27B54" w14:textId="77777777" w:rsidR="00351D5B" w:rsidRPr="00536624" w:rsidRDefault="00351D5B" w:rsidP="00351D5B">
      <w:pPr>
        <w:spacing w:after="0" w:line="240" w:lineRule="auto"/>
        <w:ind w:right="-1" w:firstLine="567"/>
        <w:jc w:val="both"/>
        <w:rPr>
          <w:rFonts w:cstheme="minorHAnsi"/>
          <w:i/>
          <w:iCs/>
        </w:rPr>
      </w:pPr>
      <w:r w:rsidRPr="00536624">
        <w:rPr>
          <w:rFonts w:cstheme="minorHAnsi"/>
          <w:i/>
          <w:iCs/>
        </w:rPr>
        <w:t>Procesas administraciniuose teismuose</w:t>
      </w:r>
    </w:p>
    <w:p w14:paraId="2A71EC08" w14:textId="77777777" w:rsidR="00351D5B" w:rsidRPr="00536624" w:rsidRDefault="00351D5B" w:rsidP="00351D5B">
      <w:pPr>
        <w:spacing w:after="0" w:line="240" w:lineRule="auto"/>
        <w:ind w:right="-1" w:firstLine="567"/>
        <w:jc w:val="both"/>
        <w:rPr>
          <w:rFonts w:cstheme="minorHAnsi"/>
        </w:rPr>
      </w:pPr>
    </w:p>
    <w:p w14:paraId="6F78B051" w14:textId="304A376A" w:rsidR="00351D5B" w:rsidRPr="00536624" w:rsidRDefault="00351D5B" w:rsidP="00351D5B">
      <w:pPr>
        <w:spacing w:after="0" w:line="240" w:lineRule="auto"/>
        <w:ind w:right="-1" w:firstLine="567"/>
        <w:jc w:val="both"/>
        <w:rPr>
          <w:rFonts w:cstheme="minorHAnsi"/>
        </w:rPr>
      </w:pPr>
      <w:r w:rsidRPr="00536624">
        <w:rPr>
          <w:rFonts w:cstheme="minorHAnsi"/>
        </w:rPr>
        <w:t xml:space="preserve">EŽTT, remdamasis Lietuvos administracinių teismų praktika, konstatavo, kad administraciniai teismai nagrinėja Seimo Pirmininko, kitų valstybės paslapčių subjektų vadovų sprendimus, kuriais atsisakoma išduoti leidimą dirbti ar susipažinti su įslaptinta informacija ir, esant pagrindui, panaikina tokius sprendimus. </w:t>
      </w:r>
      <w:r w:rsidR="00FA5D3F">
        <w:rPr>
          <w:rFonts w:cstheme="minorHAnsi"/>
        </w:rPr>
        <w:t>Teismas</w:t>
      </w:r>
      <w:r w:rsidRPr="00536624">
        <w:rPr>
          <w:rFonts w:cstheme="minorHAnsi"/>
        </w:rPr>
        <w:t xml:space="preserve"> pažymėjo, kad vertindami galutinį sprendimą, kuriuo atsisakyta išduoti leidimą dirbti ar susipažinti su įslaptinta informacija, administraciniai teismai kartu vertina ir VSD tarpinius procedūrinius sprendimus, kurių pagrindu priimtas atitinkamas atsisakymas. Pasak Teismo, šios vidaus teisinės gynybos priemonės prieinamumo pareiškėjui sąlyga, kad pareiškėjas turėjo užimti Seimo Pirmininko pavaduotojo pareigas bent iki tol, kol Seimo Pirmininkas būtų priėmęs oficialų sprendimą pareiškėjui neišduoti leidimo dirbti ar susipažinti su įslaptinta informacija, nepadarė šios priemonės neveiksmingos. Teismas atkreipė dėmesį, kad pareiškėjas savo laisva valia pasirinko atsistatydinti iš Seimo Pirmininko pavaduotojo pareigų po jam neprivalomo Seimo Pirmininko žodinio paraginimo, žinodamas, kad nėra priimto oficialaus sprendimo dėl atsisakymo išduoti jam leidimą dirbti su valstybės paslaptį sudarančia informacija. </w:t>
      </w:r>
    </w:p>
    <w:p w14:paraId="04110339" w14:textId="77777777" w:rsidR="00351D5B" w:rsidRPr="00536624" w:rsidRDefault="00351D5B" w:rsidP="00351D5B">
      <w:pPr>
        <w:spacing w:after="0" w:line="240" w:lineRule="auto"/>
        <w:ind w:right="-1" w:firstLine="567"/>
        <w:jc w:val="both"/>
        <w:rPr>
          <w:rFonts w:cstheme="minorHAnsi"/>
        </w:rPr>
      </w:pPr>
      <w:r w:rsidRPr="00536624">
        <w:rPr>
          <w:rFonts w:cstheme="minorHAnsi"/>
        </w:rPr>
        <w:t>Konstatuodamas, kad pareiškėjui buvo suteikta veiksminga gynybos priemonė, norint užginčyti VSD pažymoje buvusius teiginius, Teismas nurodė, jog atskirai pasisakyti, ar asmuo turėjo „pagrįstą skundą“ pagal Konvencijos 8 straipsnį nebereikia.</w:t>
      </w:r>
    </w:p>
    <w:p w14:paraId="1BB5557C" w14:textId="77777777" w:rsidR="00351D5B" w:rsidRPr="00536624" w:rsidRDefault="00351D5B" w:rsidP="00351D5B">
      <w:pPr>
        <w:spacing w:after="0" w:line="240" w:lineRule="auto"/>
        <w:ind w:right="-1" w:firstLine="567"/>
        <w:jc w:val="both"/>
        <w:rPr>
          <w:rFonts w:cstheme="minorHAnsi"/>
        </w:rPr>
      </w:pPr>
    </w:p>
    <w:p w14:paraId="169D3D3B" w14:textId="77777777"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Konvencijos 13 straipsnio taikant kartu su 8 straipsniu pažeidimas nenustatytas (vienbalsiai). </w:t>
      </w:r>
    </w:p>
    <w:p w14:paraId="2942C957" w14:textId="77777777" w:rsidR="00351D5B" w:rsidRPr="00536624" w:rsidRDefault="00267716" w:rsidP="00351D5B">
      <w:pPr>
        <w:spacing w:after="0" w:line="240" w:lineRule="auto"/>
        <w:ind w:right="-1" w:firstLine="567"/>
        <w:jc w:val="both"/>
        <w:rPr>
          <w:rFonts w:cstheme="minorHAnsi"/>
        </w:rPr>
      </w:pPr>
      <w:hyperlink r:id="rId30" w:history="1">
        <w:r w:rsidR="00351D5B" w:rsidRPr="00536624">
          <w:rPr>
            <w:rStyle w:val="Hipersaitas"/>
            <w:rFonts w:cstheme="minorHAnsi"/>
          </w:rPr>
          <w:t>Prieiga internete</w:t>
        </w:r>
      </w:hyperlink>
    </w:p>
    <w:p w14:paraId="0232DE55" w14:textId="77777777" w:rsidR="00351D5B" w:rsidRPr="00536624" w:rsidRDefault="00351D5B" w:rsidP="00351D5B">
      <w:pPr>
        <w:shd w:val="clear" w:color="auto" w:fill="FFFFFF"/>
        <w:spacing w:after="0" w:line="240" w:lineRule="auto"/>
        <w:ind w:right="-1"/>
        <w:jc w:val="center"/>
        <w:rPr>
          <w:rFonts w:eastAsia="Times New Roman" w:cstheme="minorHAnsi"/>
          <w:b/>
        </w:rPr>
      </w:pPr>
    </w:p>
    <w:p w14:paraId="25556125" w14:textId="77777777" w:rsidR="00351D5B" w:rsidRPr="00536624" w:rsidRDefault="00351D5B" w:rsidP="00001422">
      <w:pPr>
        <w:pStyle w:val="Antrat1"/>
        <w:rPr>
          <w:rFonts w:eastAsia="Times New Roman"/>
        </w:rPr>
      </w:pPr>
      <w:bookmarkStart w:id="49" w:name="_Toc52184463"/>
      <w:r w:rsidRPr="00536624">
        <w:rPr>
          <w:rFonts w:eastAsia="Times New Roman"/>
        </w:rPr>
        <w:t>NUOSAVYBĖS APSAUGA (Pirmojo protokolo 1 straipsnis)</w:t>
      </w:r>
      <w:bookmarkEnd w:id="49"/>
    </w:p>
    <w:p w14:paraId="577CA188" w14:textId="77777777" w:rsidR="00351D5B" w:rsidRPr="00536624" w:rsidRDefault="00351D5B" w:rsidP="00351D5B">
      <w:pPr>
        <w:shd w:val="clear" w:color="auto" w:fill="FFFFFF"/>
        <w:spacing w:after="0" w:line="240" w:lineRule="auto"/>
        <w:ind w:right="-1"/>
        <w:jc w:val="center"/>
        <w:rPr>
          <w:rFonts w:eastAsia="Times New Roman" w:cstheme="minorHAnsi"/>
          <w:b/>
          <w:color w:val="323E4F"/>
        </w:rPr>
      </w:pPr>
    </w:p>
    <w:p w14:paraId="634DB71F"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Europos Žmogaus Teisių Teismo 2020 m. vasario 11 d. sprendimas byloje</w:t>
      </w:r>
    </w:p>
    <w:p w14:paraId="3776FC80" w14:textId="77777777" w:rsidR="00351D5B" w:rsidRPr="00536624" w:rsidRDefault="00351D5B" w:rsidP="003460C1">
      <w:pPr>
        <w:pStyle w:val="Antrat2"/>
        <w:jc w:val="center"/>
        <w:rPr>
          <w:i/>
        </w:rPr>
      </w:pPr>
      <w:bookmarkStart w:id="50" w:name="_Toc52184464"/>
      <w:r w:rsidRPr="00536624">
        <w:rPr>
          <w:i/>
        </w:rPr>
        <w:t>Šeiko prieš Lietuvą</w:t>
      </w:r>
      <w:bookmarkEnd w:id="50"/>
    </w:p>
    <w:p w14:paraId="6AC184FA"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rPr>
      </w:pPr>
      <w:r w:rsidRPr="00536624">
        <w:rPr>
          <w:rFonts w:eastAsia="Times New Roman" w:cstheme="minorHAnsi"/>
          <w:b/>
        </w:rPr>
        <w:t>(pareiškimo Nr. 82968/17, svarbos lygis – 2)</w:t>
      </w:r>
    </w:p>
    <w:p w14:paraId="1D1759CB" w14:textId="77777777" w:rsidR="00351D5B" w:rsidRPr="00536624" w:rsidRDefault="00351D5B" w:rsidP="00351D5B">
      <w:pPr>
        <w:pBdr>
          <w:top w:val="nil"/>
          <w:left w:val="nil"/>
          <w:bottom w:val="nil"/>
          <w:right w:val="nil"/>
          <w:between w:val="nil"/>
        </w:pBdr>
        <w:tabs>
          <w:tab w:val="left" w:pos="851"/>
        </w:tabs>
        <w:spacing w:after="0" w:line="240" w:lineRule="auto"/>
        <w:ind w:right="-1"/>
        <w:jc w:val="both"/>
        <w:rPr>
          <w:rFonts w:eastAsia="Times New Roman" w:cstheme="minorHAnsi"/>
          <w:color w:val="000000"/>
        </w:rPr>
      </w:pPr>
    </w:p>
    <w:p w14:paraId="23DC7499" w14:textId="77777777" w:rsidR="00351D5B" w:rsidRPr="00536624" w:rsidRDefault="00351D5B" w:rsidP="003061A6">
      <w:pPr>
        <w:pStyle w:val="Antrat3"/>
        <w:ind w:firstLine="567"/>
        <w:jc w:val="both"/>
      </w:pPr>
      <w:bookmarkStart w:id="51" w:name="_Toc52184465"/>
      <w:r w:rsidRPr="00536624">
        <w:t>Dėl antstolio vykdomo 20 procentų/mėn. dydžio sumos išskaičiavimo iš pareiškėjos senatvės pensijos</w:t>
      </w:r>
      <w:bookmarkEnd w:id="51"/>
    </w:p>
    <w:p w14:paraId="5B71DFBB"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AA0F415" w14:textId="77777777" w:rsidR="00351D5B" w:rsidRPr="00536624" w:rsidRDefault="00351D5B" w:rsidP="00351D5B">
      <w:pPr>
        <w:pBdr>
          <w:top w:val="nil"/>
          <w:left w:val="nil"/>
          <w:bottom w:val="nil"/>
          <w:right w:val="nil"/>
          <w:between w:val="nil"/>
        </w:pBdr>
        <w:tabs>
          <w:tab w:val="left" w:pos="851"/>
        </w:tabs>
        <w:spacing w:after="0" w:line="240" w:lineRule="auto"/>
        <w:ind w:right="-1"/>
        <w:jc w:val="center"/>
        <w:rPr>
          <w:rFonts w:eastAsia="Times New Roman" w:cstheme="minorHAnsi"/>
          <w:b/>
          <w:bCs/>
          <w:color w:val="000000"/>
        </w:rPr>
      </w:pPr>
      <w:r w:rsidRPr="00536624">
        <w:rPr>
          <w:rFonts w:eastAsia="Times New Roman" w:cstheme="minorHAnsi"/>
          <w:b/>
          <w:bCs/>
          <w:color w:val="000000"/>
        </w:rPr>
        <w:t>Faktinės aplinkybės</w:t>
      </w:r>
    </w:p>
    <w:p w14:paraId="4BC099BA"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6D65514" w14:textId="070DA1DF" w:rsidR="00351D5B" w:rsidRPr="009152E9"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rPr>
      </w:pPr>
      <w:r w:rsidRPr="00536624">
        <w:rPr>
          <w:rFonts w:eastAsia="Times New Roman" w:cstheme="minorHAnsi"/>
          <w:color w:val="000000"/>
        </w:rPr>
        <w:t>Apylinkės teismas nuteisė pareiškėją dėl psichologinės žalos sukėlimo kaimynų šeimai ir jų terorizavimo, dėl ko šiai skirta subendrinta 2 metų trukmės laisvės atėmimo bausmė, įpareigojimas nesiartinti prie nukentėjusiųjų, taip pat nu</w:t>
      </w:r>
      <w:r w:rsidR="00FA5D3F">
        <w:rPr>
          <w:rFonts w:eastAsia="Times New Roman" w:cstheme="minorHAnsi"/>
          <w:color w:val="000000"/>
        </w:rPr>
        <w:t>kentėjusiems</w:t>
      </w:r>
      <w:r w:rsidRPr="00536624">
        <w:rPr>
          <w:rFonts w:eastAsia="Times New Roman" w:cstheme="minorHAnsi"/>
          <w:color w:val="000000"/>
        </w:rPr>
        <w:t xml:space="preserve"> priteista 5 908 EUR neturtinei žalai atlyginti. Pareiškėjos apeliacinis skundas buvo atmestas 2015 metais, kasacinis skundas – 2016 metais. Dėl pareiškėjos laiku nesumokėtos kompensacijos antstolis areštavo pareiškėjai priklausantį nekilnojamąjį turtą – 0,06 ha žemės sklypą, taip pat </w:t>
      </w:r>
      <w:r w:rsidRPr="009152E9">
        <w:rPr>
          <w:rFonts w:eastAsia="Times New Roman" w:cstheme="minorHAnsi"/>
        </w:rPr>
        <w:t xml:space="preserve">kreipėsi į Valstybinio socialinio draudimo fondo Kretingos skyrių, siekdamas išieškoti priteistą sumą, t. y. iš pareiškėjos senatvės pensijos išskaičiuoti po 20 procentų kas mėnesį. Laikotarpiu nuo 2017 m. sausio 20 d. iki 2019 m. kovo 13 d. iš pareiškėjos buvo išieškota 2 019 EUR suma, kas mėnesį nuskaičiuojant 20,24–24,64 EUR. </w:t>
      </w:r>
    </w:p>
    <w:p w14:paraId="578AB84E"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9152E9">
        <w:rPr>
          <w:rFonts w:eastAsia="Times New Roman" w:cstheme="minorHAnsi"/>
        </w:rPr>
        <w:t>Remdamasi Konvencijos 3 straipsniu, pareiškėja skundėsi Teismui, kad žalos išieškojimas iš pensijos, atimant penktadalį jos, ne</w:t>
      </w:r>
      <w:r w:rsidRPr="00536624">
        <w:rPr>
          <w:rFonts w:eastAsia="Times New Roman" w:cstheme="minorHAnsi"/>
          <w:color w:val="000000"/>
        </w:rPr>
        <w:t>teisėtas ir sukėlė jai neįveikiamus sunkumus.</w:t>
      </w:r>
    </w:p>
    <w:p w14:paraId="7FCD7295" w14:textId="77777777" w:rsidR="00351D5B" w:rsidRPr="00536624" w:rsidRDefault="00351D5B" w:rsidP="00351D5B">
      <w:pPr>
        <w:shd w:val="clear" w:color="auto" w:fill="FFFFFF"/>
        <w:spacing w:after="0" w:line="240" w:lineRule="auto"/>
        <w:ind w:right="-1"/>
        <w:jc w:val="center"/>
        <w:rPr>
          <w:rStyle w:val="sb8d990e2"/>
          <w:rFonts w:cstheme="minorHAnsi"/>
          <w:color w:val="000000"/>
          <w:sz w:val="24"/>
          <w:szCs w:val="24"/>
          <w:lang w:eastAsia="en-GB"/>
        </w:rPr>
      </w:pPr>
    </w:p>
    <w:p w14:paraId="07B1ADB3" w14:textId="77777777" w:rsidR="00351D5B" w:rsidRPr="00536624" w:rsidRDefault="00351D5B" w:rsidP="00351D5B">
      <w:pPr>
        <w:shd w:val="clear" w:color="auto" w:fill="FFFFFF"/>
        <w:spacing w:after="0" w:line="240" w:lineRule="auto"/>
        <w:ind w:right="-1"/>
        <w:jc w:val="center"/>
        <w:rPr>
          <w:rFonts w:eastAsia="Times New Roman" w:cstheme="minorHAnsi"/>
          <w:b/>
          <w:bCs/>
          <w:color w:val="000000"/>
        </w:rPr>
      </w:pPr>
      <w:r w:rsidRPr="00536624">
        <w:rPr>
          <w:rFonts w:eastAsia="Times New Roman" w:cstheme="minorHAnsi"/>
          <w:b/>
          <w:bCs/>
          <w:color w:val="000000"/>
        </w:rPr>
        <w:t>Neoficiali Teismo sprendimo apžvalga</w:t>
      </w:r>
    </w:p>
    <w:p w14:paraId="46617156"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4F3ABE61" w14:textId="77777777" w:rsidR="008852F5"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Teismas, remdamasis savo kompetencija, pirmiausia nurodė, jog pareiškėjos skundas bus nagrinėjamas pagal Konvencijos Pirmojo protokolo 1 straipsnį, bei konstatavo, jog 20,24–24,64 EUR dydžio sumų išskaičiavimas iš pareiškėjos senatvės pensijos apribojo jos teisę netrukdomai naudotis savo nuosavybe, įtvirtintą Konvencijos </w:t>
      </w:r>
      <w:r w:rsidR="008852F5">
        <w:rPr>
          <w:rFonts w:eastAsia="Times New Roman" w:cstheme="minorHAnsi"/>
          <w:color w:val="000000"/>
        </w:rPr>
        <w:t>Pirmojo Protokolo</w:t>
      </w:r>
      <w:r w:rsidRPr="00536624">
        <w:rPr>
          <w:rFonts w:eastAsia="Times New Roman" w:cstheme="minorHAnsi"/>
          <w:color w:val="000000"/>
        </w:rPr>
        <w:t xml:space="preserve"> 1 straipsnyje. Tačiau Teismas nepritarė pareiškėjos argumentui, jog sumų nuskaičiavimas nuo senatvės pensijos prieštarauja įstatymui. Šiuo atveju antstolio veiksmai atitiko Civilinio proceso kodekso 668 straipsnio 1 dalies, 736 straipsnio nuostatas. Be to, pareiškėjos nuosavybės teisių ribojimas turėjo teisėtą tikslą – apsaugoti nukentėjusiųjų nuo nusikaltimo interesus. </w:t>
      </w:r>
    </w:p>
    <w:p w14:paraId="2345CAC2" w14:textId="1BA681E2"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 xml:space="preserve">Vertindamas pareiškėjai pritaikytų priemonių proporcingumą, Teismas atkreipė dėmesį į tai, jog susidariusią situaciją lėmė pačios pareiškėjos veiksmai terorizuojant savo kaimynus ir padarant jiems psichologinę žalą. Pareiškėjos senatvės pensija yra sumažinta tik iš dalies ir laikinai (iki kol ji sumokės skolą). Nors pareiškėjos pajamos aktualiu laikotarpiu nebuvo didelės, ji nepagrindė savo pretenzijų, kad pajamų trūkumas savaime lėmė kentėjimą. Pastebėta ir tai, kad pareiškėja gauna socialinę paramą, be kita ko, nuo 1993 metų jai suteiktas socialinis būstas, ji gauna socialines pašalpas, kompensacijas, taip pat 60,47 EUR dydžio kišenpinigius (ši suma žymiai didesnė už antstolio nuskaičiuojamą sumą). Atsižvelgiant į tai, nėra pagrindo konstatuoti, kad pareiškėjos senatvės pensijos dydžio sumažinimas paliko ją be pakankamų lėšų pragyventi. </w:t>
      </w:r>
    </w:p>
    <w:p w14:paraId="47803823"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r w:rsidRPr="00536624">
        <w:rPr>
          <w:rFonts w:eastAsia="Times New Roman" w:cstheme="minorHAnsi"/>
          <w:color w:val="000000"/>
        </w:rPr>
        <w:t>Teismas papildomai pažymėjo, jog pareiškėjai priklauso žemės sklypas, kurio antstolis iki šiol nėra pardavęs, todėl, jei pareiškėja iš tiesų patyrė nepakeliamus sunkumus, ji galėjo parduoti šį sklypą ir atlyginti nukentėjusiesiems visą žalą, tačiau šiuo atveju ji nesiėmė tokių veiksmų. Teismas padarė išvadą, jog pareiškėja nepatyrė perteklinės naštos, kuri galėtų pažeisti pusiausvyrą tarp jos teisės į nuosavybę apsaugos ir bendrojo intereso reikalavimų.</w:t>
      </w:r>
    </w:p>
    <w:p w14:paraId="1CF67161" w14:textId="77777777" w:rsidR="00351D5B" w:rsidRPr="00536624" w:rsidRDefault="00351D5B" w:rsidP="00351D5B">
      <w:pPr>
        <w:pBdr>
          <w:top w:val="nil"/>
          <w:left w:val="nil"/>
          <w:bottom w:val="nil"/>
          <w:right w:val="nil"/>
          <w:between w:val="nil"/>
        </w:pBdr>
        <w:tabs>
          <w:tab w:val="left" w:pos="851"/>
        </w:tabs>
        <w:spacing w:after="0" w:line="240" w:lineRule="auto"/>
        <w:ind w:right="-1" w:firstLine="567"/>
        <w:jc w:val="both"/>
        <w:rPr>
          <w:rFonts w:eastAsia="Times New Roman" w:cstheme="minorHAnsi"/>
          <w:color w:val="000000"/>
        </w:rPr>
      </w:pPr>
    </w:p>
    <w:p w14:paraId="356867D6" w14:textId="4607BB63" w:rsidR="00351D5B" w:rsidRPr="00536624" w:rsidRDefault="00351D5B" w:rsidP="00351D5B">
      <w:pPr>
        <w:spacing w:after="0" w:line="240" w:lineRule="auto"/>
        <w:ind w:right="-1" w:firstLine="567"/>
        <w:jc w:val="both"/>
        <w:rPr>
          <w:rFonts w:cstheme="minorHAnsi"/>
        </w:rPr>
      </w:pPr>
      <w:r w:rsidRPr="00536624">
        <w:rPr>
          <w:rFonts w:cstheme="minorHAnsi"/>
        </w:rPr>
        <w:t xml:space="preserve">Išvada: </w:t>
      </w:r>
      <w:r w:rsidRPr="00536624">
        <w:rPr>
          <w:rFonts w:eastAsia="Times New Roman" w:cstheme="minorHAnsi"/>
          <w:color w:val="000000"/>
        </w:rPr>
        <w:t xml:space="preserve">Konvencijos </w:t>
      </w:r>
      <w:r w:rsidR="008852F5">
        <w:rPr>
          <w:rFonts w:eastAsia="Times New Roman" w:cstheme="minorHAnsi"/>
          <w:color w:val="000000"/>
        </w:rPr>
        <w:t xml:space="preserve">Pirmojo </w:t>
      </w:r>
      <w:r w:rsidRPr="00536624">
        <w:rPr>
          <w:rFonts w:eastAsia="Times New Roman" w:cstheme="minorHAnsi"/>
          <w:color w:val="000000"/>
        </w:rPr>
        <w:t xml:space="preserve">Protokolo 1 straipsnio </w:t>
      </w:r>
      <w:r w:rsidRPr="00536624">
        <w:rPr>
          <w:rFonts w:cstheme="minorHAnsi"/>
        </w:rPr>
        <w:t xml:space="preserve">pažeidimas nenustatytas (vienbalsiai). </w:t>
      </w:r>
    </w:p>
    <w:p w14:paraId="01644F2B" w14:textId="77777777" w:rsidR="00351D5B" w:rsidRPr="00536624" w:rsidRDefault="00267716" w:rsidP="00351D5B">
      <w:pPr>
        <w:spacing w:after="0" w:line="240" w:lineRule="auto"/>
        <w:ind w:right="-1" w:firstLine="567"/>
        <w:jc w:val="both"/>
        <w:rPr>
          <w:rFonts w:cstheme="minorHAnsi"/>
        </w:rPr>
      </w:pPr>
      <w:hyperlink r:id="rId31" w:history="1">
        <w:r w:rsidR="00351D5B" w:rsidRPr="00536624">
          <w:rPr>
            <w:rFonts w:cstheme="minorHAnsi"/>
            <w:color w:val="0000FF"/>
            <w:u w:val="single"/>
          </w:rPr>
          <w:t>Prieiga internete</w:t>
        </w:r>
      </w:hyperlink>
    </w:p>
    <w:p w14:paraId="4567F4B4" w14:textId="77777777" w:rsidR="006637D9" w:rsidRPr="00536624" w:rsidRDefault="006637D9" w:rsidP="00351D5B">
      <w:pPr>
        <w:pStyle w:val="Antrat1"/>
        <w:ind w:right="-1"/>
        <w:jc w:val="left"/>
        <w:rPr>
          <w:rFonts w:ascii="Calibri" w:hAnsi="Calibri" w:cs="Calibri"/>
          <w:b w:val="0"/>
        </w:rPr>
      </w:pPr>
    </w:p>
    <w:sectPr w:rsidR="006637D9" w:rsidRPr="00536624" w:rsidSect="00C22527">
      <w:headerReference w:type="default" r:id="rId32"/>
      <w:footerReference w:type="default" r:id="rId3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5396A" w14:textId="77777777" w:rsidR="00267716" w:rsidRDefault="00267716">
      <w:pPr>
        <w:spacing w:after="0" w:line="240" w:lineRule="auto"/>
      </w:pPr>
      <w:r>
        <w:separator/>
      </w:r>
    </w:p>
  </w:endnote>
  <w:endnote w:type="continuationSeparator" w:id="0">
    <w:p w14:paraId="7DF94DD5" w14:textId="77777777" w:rsidR="00267716" w:rsidRDefault="00267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185225229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18730759" w14:textId="77777777" w:rsidR="00EF29E1" w:rsidRPr="00C95576" w:rsidRDefault="00EF29E1">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Pr>
                <w:bCs/>
                <w:noProof/>
                <w:sz w:val="20"/>
                <w:szCs w:val="20"/>
              </w:rPr>
              <w:t>3</w:t>
            </w:r>
            <w:r>
              <w:rPr>
                <w:bCs/>
                <w:noProof/>
                <w:sz w:val="20"/>
                <w:szCs w:val="20"/>
              </w:rPr>
              <w:t>2</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Pr>
                <w:bCs/>
                <w:noProof/>
                <w:sz w:val="20"/>
                <w:szCs w:val="20"/>
              </w:rPr>
              <w:t>32</w:t>
            </w:r>
            <w:r w:rsidRPr="00C95576">
              <w:rPr>
                <w:bCs/>
                <w:sz w:val="20"/>
                <w:szCs w:val="20"/>
              </w:rPr>
              <w:fldChar w:fldCharType="end"/>
            </w:r>
          </w:p>
        </w:sdtContent>
      </w:sdt>
    </w:sdtContent>
  </w:sdt>
  <w:p w14:paraId="0FEDAA04" w14:textId="77777777" w:rsidR="00EF29E1" w:rsidRDefault="00EF29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2486A" w14:textId="77777777" w:rsidR="00267716" w:rsidRDefault="00267716">
      <w:pPr>
        <w:spacing w:after="0" w:line="240" w:lineRule="auto"/>
      </w:pPr>
      <w:r>
        <w:separator/>
      </w:r>
    </w:p>
  </w:footnote>
  <w:footnote w:type="continuationSeparator" w:id="0">
    <w:p w14:paraId="3F315323" w14:textId="77777777" w:rsidR="00267716" w:rsidRDefault="00267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bottom w:val="single" w:sz="4" w:space="0" w:color="44546A" w:themeColor="text2"/>
      </w:tblBorders>
      <w:tblLook w:val="04A0" w:firstRow="1" w:lastRow="0" w:firstColumn="1" w:lastColumn="0" w:noHBand="0" w:noVBand="1"/>
    </w:tblPr>
    <w:tblGrid>
      <w:gridCol w:w="7147"/>
      <w:gridCol w:w="2383"/>
    </w:tblGrid>
    <w:tr w:rsidR="00EF29E1" w:rsidRPr="000967FF" w14:paraId="363E1FB1" w14:textId="77777777" w:rsidTr="00C22527">
      <w:tc>
        <w:tcPr>
          <w:tcW w:w="7230" w:type="dxa"/>
        </w:tcPr>
        <w:p w14:paraId="5C87C8A7" w14:textId="77777777" w:rsidR="00EF29E1" w:rsidRPr="0021377E" w:rsidRDefault="00EF29E1"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5E7C0FBA" w:rsidR="00EF29E1" w:rsidRPr="0021377E" w:rsidRDefault="00EF29E1" w:rsidP="0037620F">
          <w:pPr>
            <w:rPr>
              <w:rFonts w:ascii="Calibri" w:hAnsi="Calibri"/>
              <w:color w:val="323E4F" w:themeColor="text2" w:themeShade="BF"/>
              <w:sz w:val="20"/>
              <w:szCs w:val="20"/>
            </w:rPr>
          </w:pPr>
          <w:r>
            <w:rPr>
              <w:rFonts w:ascii="Calibri" w:hAnsi="Calibri"/>
              <w:color w:val="323E4F" w:themeColor="text2" w:themeShade="BF"/>
              <w:sz w:val="20"/>
              <w:szCs w:val="20"/>
            </w:rPr>
            <w:t>2020 01</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01–2020 06</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30</w:t>
          </w:r>
        </w:p>
      </w:tc>
    </w:tr>
  </w:tbl>
  <w:p w14:paraId="08528B04" w14:textId="77777777" w:rsidR="00EF29E1" w:rsidRDefault="00EF29E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094B15"/>
    <w:multiLevelType w:val="hybridMultilevel"/>
    <w:tmpl w:val="29A296F6"/>
    <w:lvl w:ilvl="0" w:tplc="B6D2163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4BC470AC"/>
    <w:multiLevelType w:val="hybridMultilevel"/>
    <w:tmpl w:val="B032E6D2"/>
    <w:lvl w:ilvl="0" w:tplc="FD08D81C">
      <w:start w:val="1"/>
      <w:numFmt w:val="bullet"/>
      <w:lvlText w:val="–"/>
      <w:lvlJc w:val="left"/>
      <w:pPr>
        <w:ind w:left="1287" w:hanging="360"/>
      </w:pPr>
      <w:rPr>
        <w:rFonts w:ascii="Calibri" w:hAnsi="Calibri"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 w15:restartNumberingAfterBreak="0">
    <w:nsid w:val="64501152"/>
    <w:multiLevelType w:val="hybridMultilevel"/>
    <w:tmpl w:val="178A912C"/>
    <w:lvl w:ilvl="0" w:tplc="11C62E4A">
      <w:start w:val="1"/>
      <w:numFmt w:val="low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1422"/>
    <w:rsid w:val="000033CA"/>
    <w:rsid w:val="00005CD9"/>
    <w:rsid w:val="00010266"/>
    <w:rsid w:val="0002415A"/>
    <w:rsid w:val="0003146A"/>
    <w:rsid w:val="000329DA"/>
    <w:rsid w:val="00032E09"/>
    <w:rsid w:val="000441D4"/>
    <w:rsid w:val="00085E79"/>
    <w:rsid w:val="000B0DBB"/>
    <w:rsid w:val="000B4C85"/>
    <w:rsid w:val="000E3F53"/>
    <w:rsid w:val="000F1AF5"/>
    <w:rsid w:val="000F3BDD"/>
    <w:rsid w:val="001114D7"/>
    <w:rsid w:val="001206B4"/>
    <w:rsid w:val="00144C55"/>
    <w:rsid w:val="00150619"/>
    <w:rsid w:val="001A2B79"/>
    <w:rsid w:val="001A4611"/>
    <w:rsid w:val="001C0508"/>
    <w:rsid w:val="001D13E2"/>
    <w:rsid w:val="001F1CF0"/>
    <w:rsid w:val="001F30CD"/>
    <w:rsid w:val="00207F9B"/>
    <w:rsid w:val="00210C45"/>
    <w:rsid w:val="00214F38"/>
    <w:rsid w:val="00217357"/>
    <w:rsid w:val="00224044"/>
    <w:rsid w:val="00230FBA"/>
    <w:rsid w:val="002556E5"/>
    <w:rsid w:val="00263E9F"/>
    <w:rsid w:val="00267716"/>
    <w:rsid w:val="00272B99"/>
    <w:rsid w:val="00277903"/>
    <w:rsid w:val="002853B9"/>
    <w:rsid w:val="0029123E"/>
    <w:rsid w:val="002A5DE3"/>
    <w:rsid w:val="002A7636"/>
    <w:rsid w:val="002B2757"/>
    <w:rsid w:val="002C1713"/>
    <w:rsid w:val="002D0A91"/>
    <w:rsid w:val="002F43A7"/>
    <w:rsid w:val="0030137B"/>
    <w:rsid w:val="00303685"/>
    <w:rsid w:val="003061A6"/>
    <w:rsid w:val="00306FC2"/>
    <w:rsid w:val="00307841"/>
    <w:rsid w:val="00310F3E"/>
    <w:rsid w:val="00311C7E"/>
    <w:rsid w:val="00330D45"/>
    <w:rsid w:val="003460C1"/>
    <w:rsid w:val="00346301"/>
    <w:rsid w:val="00351D5B"/>
    <w:rsid w:val="003626B1"/>
    <w:rsid w:val="003740DD"/>
    <w:rsid w:val="0037620F"/>
    <w:rsid w:val="003768B5"/>
    <w:rsid w:val="00384E27"/>
    <w:rsid w:val="0039456C"/>
    <w:rsid w:val="003B4852"/>
    <w:rsid w:val="003B6EBF"/>
    <w:rsid w:val="003C4ABE"/>
    <w:rsid w:val="003C740A"/>
    <w:rsid w:val="003E32FC"/>
    <w:rsid w:val="003E3981"/>
    <w:rsid w:val="003F0BA7"/>
    <w:rsid w:val="004136F9"/>
    <w:rsid w:val="00423B69"/>
    <w:rsid w:val="00426F74"/>
    <w:rsid w:val="00433D88"/>
    <w:rsid w:val="00436638"/>
    <w:rsid w:val="004461D4"/>
    <w:rsid w:val="004531D4"/>
    <w:rsid w:val="00457674"/>
    <w:rsid w:val="0046082F"/>
    <w:rsid w:val="00460C74"/>
    <w:rsid w:val="00482E6C"/>
    <w:rsid w:val="00492256"/>
    <w:rsid w:val="004955D1"/>
    <w:rsid w:val="004A150D"/>
    <w:rsid w:val="004B562D"/>
    <w:rsid w:val="004B73D4"/>
    <w:rsid w:val="004C1958"/>
    <w:rsid w:val="004C59FE"/>
    <w:rsid w:val="004D3D54"/>
    <w:rsid w:val="004E21F2"/>
    <w:rsid w:val="004E2B81"/>
    <w:rsid w:val="004F245A"/>
    <w:rsid w:val="00512C17"/>
    <w:rsid w:val="005306E1"/>
    <w:rsid w:val="005312F6"/>
    <w:rsid w:val="005330B5"/>
    <w:rsid w:val="00536624"/>
    <w:rsid w:val="005408B2"/>
    <w:rsid w:val="0057622D"/>
    <w:rsid w:val="005A019E"/>
    <w:rsid w:val="005A40A2"/>
    <w:rsid w:val="005A6372"/>
    <w:rsid w:val="005C2578"/>
    <w:rsid w:val="005D6E08"/>
    <w:rsid w:val="005D788D"/>
    <w:rsid w:val="005E0C4C"/>
    <w:rsid w:val="005E7216"/>
    <w:rsid w:val="005F54A2"/>
    <w:rsid w:val="006075D7"/>
    <w:rsid w:val="00611648"/>
    <w:rsid w:val="00657F91"/>
    <w:rsid w:val="006601F7"/>
    <w:rsid w:val="006637D9"/>
    <w:rsid w:val="0066728A"/>
    <w:rsid w:val="00667ACB"/>
    <w:rsid w:val="00683B82"/>
    <w:rsid w:val="00684867"/>
    <w:rsid w:val="006860B3"/>
    <w:rsid w:val="006965B7"/>
    <w:rsid w:val="006A4F93"/>
    <w:rsid w:val="006C234E"/>
    <w:rsid w:val="006D4829"/>
    <w:rsid w:val="006E5616"/>
    <w:rsid w:val="006E7305"/>
    <w:rsid w:val="00706A41"/>
    <w:rsid w:val="007205EB"/>
    <w:rsid w:val="00726DE9"/>
    <w:rsid w:val="00733C94"/>
    <w:rsid w:val="00735513"/>
    <w:rsid w:val="00751E59"/>
    <w:rsid w:val="007818DC"/>
    <w:rsid w:val="0078350C"/>
    <w:rsid w:val="00783BB3"/>
    <w:rsid w:val="007900FC"/>
    <w:rsid w:val="007A3B02"/>
    <w:rsid w:val="007B1F05"/>
    <w:rsid w:val="007B673C"/>
    <w:rsid w:val="007D147E"/>
    <w:rsid w:val="007E77CF"/>
    <w:rsid w:val="007F1A03"/>
    <w:rsid w:val="00800BC9"/>
    <w:rsid w:val="00806211"/>
    <w:rsid w:val="00836B11"/>
    <w:rsid w:val="008458AE"/>
    <w:rsid w:val="00846265"/>
    <w:rsid w:val="008466B1"/>
    <w:rsid w:val="0085296B"/>
    <w:rsid w:val="0085488A"/>
    <w:rsid w:val="00863FBB"/>
    <w:rsid w:val="0087519D"/>
    <w:rsid w:val="008852F5"/>
    <w:rsid w:val="0089626B"/>
    <w:rsid w:val="008A6D79"/>
    <w:rsid w:val="008C6A0A"/>
    <w:rsid w:val="008D1091"/>
    <w:rsid w:val="008D54F7"/>
    <w:rsid w:val="008F45BA"/>
    <w:rsid w:val="00903873"/>
    <w:rsid w:val="00907E3B"/>
    <w:rsid w:val="009152E9"/>
    <w:rsid w:val="00923885"/>
    <w:rsid w:val="00930AFB"/>
    <w:rsid w:val="009358B4"/>
    <w:rsid w:val="00944F27"/>
    <w:rsid w:val="00957D94"/>
    <w:rsid w:val="00974752"/>
    <w:rsid w:val="009A1B99"/>
    <w:rsid w:val="009A4E90"/>
    <w:rsid w:val="009B127E"/>
    <w:rsid w:val="009B78CE"/>
    <w:rsid w:val="009D7FC3"/>
    <w:rsid w:val="009E3834"/>
    <w:rsid w:val="009E5300"/>
    <w:rsid w:val="00A1174A"/>
    <w:rsid w:val="00A22529"/>
    <w:rsid w:val="00A25E02"/>
    <w:rsid w:val="00A26119"/>
    <w:rsid w:val="00A37A68"/>
    <w:rsid w:val="00A4098B"/>
    <w:rsid w:val="00A57404"/>
    <w:rsid w:val="00A8090E"/>
    <w:rsid w:val="00A81310"/>
    <w:rsid w:val="00A81DEE"/>
    <w:rsid w:val="00A820DC"/>
    <w:rsid w:val="00A85F73"/>
    <w:rsid w:val="00A873DE"/>
    <w:rsid w:val="00A908E3"/>
    <w:rsid w:val="00A962F0"/>
    <w:rsid w:val="00AA1412"/>
    <w:rsid w:val="00AA6914"/>
    <w:rsid w:val="00AD3A5F"/>
    <w:rsid w:val="00AE29DF"/>
    <w:rsid w:val="00AE32F2"/>
    <w:rsid w:val="00AE6957"/>
    <w:rsid w:val="00AE7C62"/>
    <w:rsid w:val="00B13ED1"/>
    <w:rsid w:val="00B14A16"/>
    <w:rsid w:val="00B26468"/>
    <w:rsid w:val="00B4503E"/>
    <w:rsid w:val="00B5424D"/>
    <w:rsid w:val="00B71B5E"/>
    <w:rsid w:val="00B93837"/>
    <w:rsid w:val="00BA2729"/>
    <w:rsid w:val="00BB0D3B"/>
    <w:rsid w:val="00BC5EFF"/>
    <w:rsid w:val="00BF7FC5"/>
    <w:rsid w:val="00C001E2"/>
    <w:rsid w:val="00C076F5"/>
    <w:rsid w:val="00C12300"/>
    <w:rsid w:val="00C21437"/>
    <w:rsid w:val="00C22527"/>
    <w:rsid w:val="00C43CA7"/>
    <w:rsid w:val="00C463C6"/>
    <w:rsid w:val="00C56F0E"/>
    <w:rsid w:val="00C57146"/>
    <w:rsid w:val="00C622DD"/>
    <w:rsid w:val="00C62DA3"/>
    <w:rsid w:val="00C67180"/>
    <w:rsid w:val="00C732D6"/>
    <w:rsid w:val="00C743DF"/>
    <w:rsid w:val="00C86E5D"/>
    <w:rsid w:val="00C9621D"/>
    <w:rsid w:val="00C9647E"/>
    <w:rsid w:val="00CA2363"/>
    <w:rsid w:val="00CD0042"/>
    <w:rsid w:val="00CD08DA"/>
    <w:rsid w:val="00CE3CF3"/>
    <w:rsid w:val="00CE4DCD"/>
    <w:rsid w:val="00D01E1A"/>
    <w:rsid w:val="00D11B63"/>
    <w:rsid w:val="00D17AAF"/>
    <w:rsid w:val="00D37D14"/>
    <w:rsid w:val="00D47B0F"/>
    <w:rsid w:val="00D565E1"/>
    <w:rsid w:val="00D737CF"/>
    <w:rsid w:val="00D760C8"/>
    <w:rsid w:val="00D9707A"/>
    <w:rsid w:val="00DA3ABD"/>
    <w:rsid w:val="00DA3EBC"/>
    <w:rsid w:val="00DB0745"/>
    <w:rsid w:val="00DC7996"/>
    <w:rsid w:val="00DD46DE"/>
    <w:rsid w:val="00E000BD"/>
    <w:rsid w:val="00E0534B"/>
    <w:rsid w:val="00E05E1E"/>
    <w:rsid w:val="00E23213"/>
    <w:rsid w:val="00E25DAB"/>
    <w:rsid w:val="00E45AC6"/>
    <w:rsid w:val="00E471B1"/>
    <w:rsid w:val="00E7183E"/>
    <w:rsid w:val="00E92275"/>
    <w:rsid w:val="00E93315"/>
    <w:rsid w:val="00E93FD2"/>
    <w:rsid w:val="00EA07E3"/>
    <w:rsid w:val="00EA2092"/>
    <w:rsid w:val="00EB2C14"/>
    <w:rsid w:val="00EB408B"/>
    <w:rsid w:val="00EC7DF2"/>
    <w:rsid w:val="00EE09AD"/>
    <w:rsid w:val="00EE4145"/>
    <w:rsid w:val="00EF1D24"/>
    <w:rsid w:val="00EF29E1"/>
    <w:rsid w:val="00F04403"/>
    <w:rsid w:val="00F163F4"/>
    <w:rsid w:val="00F26CBF"/>
    <w:rsid w:val="00F37079"/>
    <w:rsid w:val="00F4119D"/>
    <w:rsid w:val="00F44B82"/>
    <w:rsid w:val="00F5434D"/>
    <w:rsid w:val="00F56322"/>
    <w:rsid w:val="00F650DB"/>
    <w:rsid w:val="00F912E5"/>
    <w:rsid w:val="00F955F3"/>
    <w:rsid w:val="00F9783B"/>
    <w:rsid w:val="00FA4ADC"/>
    <w:rsid w:val="00FA5D3F"/>
    <w:rsid w:val="00FA5FA3"/>
    <w:rsid w:val="00FB6123"/>
    <w:rsid w:val="00FC2556"/>
    <w:rsid w:val="00FC2D08"/>
    <w:rsid w:val="00FC3C8F"/>
    <w:rsid w:val="00FC6030"/>
    <w:rsid w:val="00FC7A3A"/>
    <w:rsid w:val="00FD28AF"/>
    <w:rsid w:val="00FD58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4B8F9375-6DB2-4AC9-8981-24DC56D7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E09AD"/>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EE09AD"/>
    <w:pPr>
      <w:spacing w:before="0" w:line="240" w:lineRule="auto"/>
      <w:ind w:firstLine="720"/>
      <w:jc w:val="both"/>
      <w:outlineLvl w:val="1"/>
    </w:pPr>
    <w:rPr>
      <w:rFonts w:cs="Times New Roman"/>
      <w:b/>
      <w:bCs/>
      <w:i w:val="0"/>
      <w:iCs/>
      <w:color w:val="2E74B5" w:themeColor="accent1" w:themeShade="BF"/>
      <w:szCs w:val="22"/>
    </w:rPr>
  </w:style>
  <w:style w:type="paragraph" w:styleId="Antrat3">
    <w:name w:val="heading 3"/>
    <w:basedOn w:val="prastasis"/>
    <w:next w:val="prastasis"/>
    <w:link w:val="Antrat3Diagrama"/>
    <w:unhideWhenUsed/>
    <w:qFormat/>
    <w:rsid w:val="00EE09AD"/>
    <w:pPr>
      <w:keepNext/>
      <w:keepLines/>
      <w:spacing w:before="40" w:after="0"/>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EE09AD"/>
    <w:rPr>
      <w:rFonts w:eastAsiaTheme="majorEastAsia" w:cs="Times New Roman"/>
      <w:b/>
      <w:bCs/>
      <w:iCs/>
      <w:color w:val="2E74B5" w:themeColor="accent1" w:themeShade="BF"/>
    </w:rPr>
  </w:style>
  <w:style w:type="character" w:customStyle="1" w:styleId="Antrat3Diagrama">
    <w:name w:val="Antraštė 3 Diagrama"/>
    <w:basedOn w:val="Numatytasispastraiposriftas"/>
    <w:link w:val="Antrat3"/>
    <w:rsid w:val="00EE09AD"/>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E09AD"/>
    <w:pPr>
      <w:spacing w:after="100"/>
      <w:ind w:left="220"/>
    </w:pPr>
  </w:style>
  <w:style w:type="paragraph" w:styleId="Turinys3">
    <w:name w:val="toc 3"/>
    <w:basedOn w:val="prastasis"/>
    <w:next w:val="prastasis"/>
    <w:autoRedefine/>
    <w:uiPriority w:val="39"/>
    <w:unhideWhenUsed/>
    <w:rsid w:val="00EE09AD"/>
    <w:pPr>
      <w:spacing w:after="100"/>
      <w:ind w:left="440"/>
    </w:p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semiHidden/>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 w:type="paragraph" w:styleId="Sraopastraipa">
    <w:name w:val="List Paragraph"/>
    <w:basedOn w:val="prastasis"/>
    <w:uiPriority w:val="34"/>
    <w:qFormat/>
    <w:rsid w:val="00351D5B"/>
    <w:pPr>
      <w:ind w:left="720"/>
      <w:contextualSpacing/>
    </w:pPr>
    <w:rPr>
      <w:rFonts w:ascii="Calibri" w:eastAsia="Calibri" w:hAnsi="Calibri" w:cs="Times New Roman"/>
    </w:rPr>
  </w:style>
  <w:style w:type="paragraph" w:customStyle="1" w:styleId="prastasis1">
    <w:name w:val="Įprastasis1"/>
    <w:rsid w:val="00800BC9"/>
    <w:pPr>
      <w:spacing w:line="256"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 w:id="209639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udoc.echr.coe.int/eng?i=001-201093" TargetMode="External"/><Relationship Id="rId18" Type="http://schemas.openxmlformats.org/officeDocument/2006/relationships/hyperlink" Target="http://hudoc.echr.coe.int/eng?i=001-201734" TargetMode="External"/><Relationship Id="rId26" Type="http://schemas.openxmlformats.org/officeDocument/2006/relationships/hyperlink" Target="http://hudoc.echr.coe.int/eng?i=001-201896" TargetMode="External"/><Relationship Id="rId3" Type="http://schemas.openxmlformats.org/officeDocument/2006/relationships/styles" Target="styles.xml"/><Relationship Id="rId21" Type="http://schemas.openxmlformats.org/officeDocument/2006/relationships/hyperlink" Target="http://hudoc.echr.coe.int/eng?i=001-20242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hudoc.echr.coe.int/eng?i=001-201733" TargetMode="External"/><Relationship Id="rId17" Type="http://schemas.openxmlformats.org/officeDocument/2006/relationships/hyperlink" Target="http://hudoc.echr.coe.int/eng?i=001-200442" TargetMode="External"/><Relationship Id="rId25" Type="http://schemas.openxmlformats.org/officeDocument/2006/relationships/hyperlink" Target="https://hudoc.echr.coe.int/eng"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hudoc.echr.coe.int/eng?i=001-201551" TargetMode="External"/><Relationship Id="rId29" Type="http://schemas.openxmlformats.org/officeDocument/2006/relationships/hyperlink" Target="http://hudoc.echr.coe.int/eng?i=001-2024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hyperlink" Target="https://hudoc.echr.coe.int/en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hudoc.echr.coe.int/eng?i=003-6708761-8934734" TargetMode="External"/><Relationship Id="rId23" Type="http://schemas.openxmlformats.org/officeDocument/2006/relationships/hyperlink" Target="http://hudoc.echr.coe.int/eng?i=001-200435" TargetMode="External"/><Relationship Id="rId28" Type="http://schemas.openxmlformats.org/officeDocument/2006/relationships/hyperlink" Target="http://hudoc.echr.coe.int/eng?i=001-200435" TargetMode="External"/><Relationship Id="rId10" Type="http://schemas.openxmlformats.org/officeDocument/2006/relationships/hyperlink" Target="https://hudoc.echr.coe.int/eng" TargetMode="External"/><Relationship Id="rId19" Type="http://schemas.openxmlformats.org/officeDocument/2006/relationships/hyperlink" Target="http://hudoc.echr.coe.int/eng?i=001-200817" TargetMode="External"/><Relationship Id="rId31" Type="http://schemas.openxmlformats.org/officeDocument/2006/relationships/hyperlink" Target="http://hudoc.echr.coe.int/eng?i=001-200868" TargetMode="External"/><Relationship Id="rId4" Type="http://schemas.openxmlformats.org/officeDocument/2006/relationships/settings" Target="settings.xml"/><Relationship Id="rId9" Type="http://schemas.openxmlformats.org/officeDocument/2006/relationships/hyperlink" Target="file:///C:\Users\Aurimas\AppData\Local\Microsoft\Windows\Temporary%20Internet%20Files\Content.Outlook\PRDPYQIP\www.echr.coe.int" TargetMode="External"/><Relationship Id="rId14" Type="http://schemas.openxmlformats.org/officeDocument/2006/relationships/hyperlink" Target="http://hudoc.echr.coe.int/eng?i=001-202415" TargetMode="External"/><Relationship Id="rId22" Type="http://schemas.openxmlformats.org/officeDocument/2006/relationships/hyperlink" Target="https://hudoc.echr.coe.int/eng" TargetMode="External"/><Relationship Id="rId27" Type="http://schemas.openxmlformats.org/officeDocument/2006/relationships/hyperlink" Target="http://hudoc.echr.coe.int/eng?i=001-202391" TargetMode="External"/><Relationship Id="rId30" Type="http://schemas.openxmlformats.org/officeDocument/2006/relationships/hyperlink" Target="http://hudoc.echr.coe.int/eng?i=001-200728"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24AF6-60E4-6D45-8A72-3AFD28C9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674</TotalTime>
  <Pages>33</Pages>
  <Words>20215</Words>
  <Characters>115229</Characters>
  <Application>Microsoft Office Word</Application>
  <DocSecurity>0</DocSecurity>
  <Lines>960</Lines>
  <Paragraphs>270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9</cp:revision>
  <dcterms:created xsi:type="dcterms:W3CDTF">2020-09-28T11:26:00Z</dcterms:created>
  <dcterms:modified xsi:type="dcterms:W3CDTF">2020-10-07T07:56:00Z</dcterms:modified>
</cp:coreProperties>
</file>