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00119" w14:textId="77777777" w:rsidR="00837CD5" w:rsidRPr="005D4C75" w:rsidRDefault="00837CD5" w:rsidP="00837CD5">
      <w:pPr>
        <w:pStyle w:val="NoSpacing1"/>
        <w:ind w:right="-1" w:firstLine="0"/>
        <w:jc w:val="center"/>
        <w:rPr>
          <w:rFonts w:asciiTheme="minorHAnsi" w:hAnsiTheme="minorHAnsi" w:cstheme="minorHAnsi"/>
          <w:lang w:val="en-US"/>
        </w:rPr>
      </w:pPr>
    </w:p>
    <w:p w14:paraId="4EA6FC11" w14:textId="77777777" w:rsidR="00837CD5" w:rsidRPr="00C170C3" w:rsidRDefault="00837CD5" w:rsidP="00837CD5">
      <w:pPr>
        <w:pStyle w:val="NoSpacing1"/>
        <w:ind w:right="-1" w:firstLine="0"/>
        <w:jc w:val="center"/>
        <w:rPr>
          <w:rFonts w:asciiTheme="minorHAnsi" w:hAnsiTheme="minorHAnsi" w:cstheme="minorHAnsi"/>
        </w:rPr>
      </w:pPr>
    </w:p>
    <w:p w14:paraId="7720E5CC" w14:textId="77777777" w:rsidR="00837CD5" w:rsidRPr="00C170C3" w:rsidRDefault="00837CD5" w:rsidP="00837CD5">
      <w:pPr>
        <w:pStyle w:val="NoSpacing1"/>
        <w:ind w:right="-1" w:firstLine="0"/>
        <w:jc w:val="center"/>
        <w:rPr>
          <w:rFonts w:asciiTheme="minorHAnsi" w:hAnsiTheme="minorHAnsi" w:cstheme="minorHAnsi"/>
        </w:rPr>
      </w:pPr>
    </w:p>
    <w:p w14:paraId="441CCA35" w14:textId="77777777" w:rsidR="00837CD5" w:rsidRPr="00C170C3" w:rsidRDefault="00837CD5" w:rsidP="00837CD5">
      <w:pPr>
        <w:pStyle w:val="NoSpacing1"/>
        <w:ind w:right="-1" w:firstLine="0"/>
        <w:jc w:val="center"/>
        <w:rPr>
          <w:rFonts w:asciiTheme="minorHAnsi" w:hAnsiTheme="minorHAnsi" w:cstheme="minorHAnsi"/>
        </w:rPr>
      </w:pPr>
    </w:p>
    <w:p w14:paraId="1F8619EA" w14:textId="77777777" w:rsidR="00837CD5" w:rsidRPr="00C170C3" w:rsidRDefault="00837CD5" w:rsidP="00837CD5">
      <w:pPr>
        <w:pStyle w:val="NoSpacing1"/>
        <w:ind w:right="-1" w:firstLine="0"/>
        <w:jc w:val="center"/>
        <w:rPr>
          <w:rFonts w:asciiTheme="minorHAnsi" w:hAnsiTheme="minorHAnsi" w:cstheme="minorHAnsi"/>
        </w:rPr>
      </w:pPr>
    </w:p>
    <w:p w14:paraId="769CE47F" w14:textId="77777777" w:rsidR="00837CD5" w:rsidRPr="00C170C3" w:rsidRDefault="00837CD5" w:rsidP="00837CD5">
      <w:pPr>
        <w:pStyle w:val="NoSpacing1"/>
        <w:ind w:right="-1" w:firstLine="0"/>
        <w:jc w:val="center"/>
        <w:rPr>
          <w:rFonts w:asciiTheme="minorHAnsi" w:hAnsiTheme="minorHAnsi" w:cstheme="minorHAnsi"/>
        </w:rPr>
      </w:pPr>
    </w:p>
    <w:p w14:paraId="7BF6C8B4" w14:textId="77777777" w:rsidR="00837CD5" w:rsidRPr="00C170C3" w:rsidRDefault="00837CD5" w:rsidP="00837CD5">
      <w:pPr>
        <w:pStyle w:val="NoSpacing1"/>
        <w:ind w:right="-1" w:firstLine="0"/>
        <w:jc w:val="center"/>
        <w:rPr>
          <w:rFonts w:asciiTheme="minorHAnsi" w:hAnsiTheme="minorHAnsi" w:cstheme="minorHAnsi"/>
        </w:rPr>
      </w:pPr>
    </w:p>
    <w:p w14:paraId="457EA93C" w14:textId="77777777" w:rsidR="00837CD5" w:rsidRPr="00C170C3" w:rsidRDefault="00837CD5" w:rsidP="00837CD5">
      <w:pPr>
        <w:pStyle w:val="NoSpacing1"/>
        <w:ind w:right="-1" w:firstLine="0"/>
        <w:jc w:val="center"/>
        <w:rPr>
          <w:rFonts w:asciiTheme="minorHAnsi" w:hAnsiTheme="minorHAnsi" w:cstheme="minorHAnsi"/>
        </w:rPr>
      </w:pPr>
      <w:r w:rsidRPr="00C170C3">
        <w:rPr>
          <w:rFonts w:asciiTheme="minorHAnsi" w:hAnsiTheme="minorHAnsi" w:cstheme="minorHAnsi"/>
          <w:noProof/>
          <w:lang w:eastAsia="lt-LT"/>
        </w:rPr>
        <w:drawing>
          <wp:inline distT="0" distB="0" distL="0" distR="0" wp14:anchorId="1B7D27BF" wp14:editId="2B6A8535">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r w:rsidRPr="00C170C3">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30850C49" wp14:editId="7B3511AD">
                <wp:simplePos x="0" y="0"/>
                <wp:positionH relativeFrom="page">
                  <wp:posOffset>-291465</wp:posOffset>
                </wp:positionH>
                <wp:positionV relativeFrom="page">
                  <wp:posOffset>20320</wp:posOffset>
                </wp:positionV>
                <wp:extent cx="7919720" cy="629920"/>
                <wp:effectExtent l="0" t="0" r="24130" b="1778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AC90C" id="Stačiakampis 5"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" o:allowincell="f" fillcolor="#365f91" strokecolor="#31849b">
                <w10:wrap anchorx="page" anchory="page"/>
              </v:rect>
            </w:pict>
          </mc:Fallback>
        </mc:AlternateContent>
      </w:r>
      <w:r w:rsidRPr="00C170C3">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DF40CCA" wp14:editId="569B6D6F">
                <wp:simplePos x="0" y="0"/>
                <wp:positionH relativeFrom="page">
                  <wp:align>center</wp:align>
                </wp:positionH>
                <wp:positionV relativeFrom="page">
                  <wp:align>bottom</wp:align>
                </wp:positionV>
                <wp:extent cx="7920355" cy="629920"/>
                <wp:effectExtent l="0" t="0" r="23495" b="1778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4E03F" id="Stačiakampis 4"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" o:allowincell="f" fillcolor="#365f91" strokecolor="#17365d">
                <w10:wrap anchorx="page" anchory="page"/>
              </v:rect>
            </w:pict>
          </mc:Fallback>
        </mc:AlternateContent>
      </w:r>
      <w:r w:rsidRPr="00C170C3">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23C2232D" wp14:editId="69CC45BE">
                <wp:simplePos x="0" y="0"/>
                <wp:positionH relativeFrom="page">
                  <wp:posOffset>503555</wp:posOffset>
                </wp:positionH>
                <wp:positionV relativeFrom="page">
                  <wp:posOffset>-248285</wp:posOffset>
                </wp:positionV>
                <wp:extent cx="90805" cy="11205210"/>
                <wp:effectExtent l="0" t="0" r="23495" b="1524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DF519" id="Stačiakampis 3"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" o:allowincell="f" strokecolor="#17365d">
                <w10:wrap anchorx="page" anchory="page"/>
              </v:rect>
            </w:pict>
          </mc:Fallback>
        </mc:AlternateContent>
      </w:r>
      <w:r w:rsidRPr="00C170C3">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5C9C8667" wp14:editId="7BDD0B56">
                <wp:simplePos x="0" y="0"/>
                <wp:positionH relativeFrom="page">
                  <wp:posOffset>7250430</wp:posOffset>
                </wp:positionH>
                <wp:positionV relativeFrom="page">
                  <wp:posOffset>-248285</wp:posOffset>
                </wp:positionV>
                <wp:extent cx="90805" cy="11205210"/>
                <wp:effectExtent l="0" t="0" r="23495" b="1524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72F02" id="Stačiakampis 2"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" o:allowincell="f" strokecolor="#17365d">
                <w10:wrap anchorx="page" anchory="page"/>
              </v:rect>
            </w:pict>
          </mc:Fallback>
        </mc:AlternateContent>
      </w:r>
    </w:p>
    <w:p w14:paraId="272F48C7" w14:textId="77777777" w:rsidR="00837CD5" w:rsidRPr="00C170C3" w:rsidRDefault="00837CD5" w:rsidP="00837CD5">
      <w:pPr>
        <w:pStyle w:val="NoSpacing1"/>
        <w:ind w:right="-1" w:firstLine="0"/>
        <w:jc w:val="center"/>
        <w:rPr>
          <w:rFonts w:asciiTheme="minorHAnsi" w:hAnsiTheme="minorHAnsi" w:cstheme="minorHAnsi"/>
          <w:smallCaps/>
        </w:rPr>
      </w:pPr>
    </w:p>
    <w:p w14:paraId="5C07B5EF" w14:textId="77777777" w:rsidR="00837CD5" w:rsidRPr="00C170C3" w:rsidRDefault="00837CD5" w:rsidP="00837CD5">
      <w:pPr>
        <w:pStyle w:val="NoSpacing1"/>
        <w:ind w:right="-1" w:firstLine="0"/>
        <w:jc w:val="center"/>
        <w:rPr>
          <w:rFonts w:asciiTheme="minorHAnsi" w:hAnsiTheme="minorHAnsi" w:cstheme="minorHAnsi"/>
          <w:smallCaps/>
        </w:rPr>
      </w:pPr>
    </w:p>
    <w:p w14:paraId="2EDB8225" w14:textId="77777777" w:rsidR="00837CD5" w:rsidRPr="00C170C3" w:rsidRDefault="00837CD5" w:rsidP="00837CD5">
      <w:pPr>
        <w:pStyle w:val="NoSpacing1"/>
        <w:ind w:right="-1" w:firstLine="0"/>
        <w:jc w:val="center"/>
        <w:rPr>
          <w:rFonts w:asciiTheme="minorHAnsi" w:hAnsiTheme="minorHAnsi" w:cstheme="minorHAnsi"/>
          <w:smallCaps/>
        </w:rPr>
      </w:pPr>
    </w:p>
    <w:p w14:paraId="361C83A2" w14:textId="77777777" w:rsidR="00837CD5" w:rsidRPr="00C170C3" w:rsidRDefault="00837CD5" w:rsidP="00837CD5">
      <w:pPr>
        <w:pStyle w:val="NoSpacing1"/>
        <w:ind w:right="-1" w:firstLine="0"/>
        <w:jc w:val="center"/>
        <w:rPr>
          <w:rFonts w:asciiTheme="minorHAnsi" w:hAnsiTheme="minorHAnsi" w:cstheme="minorHAnsi"/>
          <w:smallCaps/>
          <w:sz w:val="52"/>
          <w:szCs w:val="52"/>
        </w:rPr>
      </w:pPr>
      <w:r w:rsidRPr="00C170C3">
        <w:rPr>
          <w:rFonts w:asciiTheme="minorHAnsi" w:hAnsiTheme="minorHAnsi" w:cstheme="minorHAnsi"/>
          <w:smallCaps/>
          <w:sz w:val="52"/>
          <w:szCs w:val="52"/>
        </w:rPr>
        <w:t>Europos Žmogaus Teisių Teismo praktikos apžvalga</w:t>
      </w:r>
    </w:p>
    <w:p w14:paraId="7EF2AE8C" w14:textId="6732E750" w:rsidR="00837CD5" w:rsidRPr="00C170C3" w:rsidRDefault="00837CD5" w:rsidP="00837CD5">
      <w:pPr>
        <w:pStyle w:val="NoSpacing1"/>
        <w:ind w:right="-1" w:firstLine="0"/>
        <w:jc w:val="center"/>
        <w:rPr>
          <w:rFonts w:asciiTheme="minorHAnsi" w:hAnsiTheme="minorHAnsi" w:cstheme="minorHAnsi"/>
          <w:b/>
          <w:smallCaps/>
          <w:sz w:val="32"/>
          <w:szCs w:val="32"/>
          <w:u w:val="single"/>
        </w:rPr>
      </w:pPr>
      <w:r w:rsidRPr="00C170C3">
        <w:rPr>
          <w:rFonts w:asciiTheme="minorHAnsi" w:hAnsiTheme="minorHAnsi" w:cstheme="minorHAnsi"/>
          <w:b/>
          <w:smallCaps/>
          <w:sz w:val="32"/>
          <w:szCs w:val="32"/>
          <w:u w:val="single"/>
        </w:rPr>
        <w:t>202</w:t>
      </w:r>
      <w:r>
        <w:rPr>
          <w:rFonts w:asciiTheme="minorHAnsi" w:hAnsiTheme="minorHAnsi" w:cstheme="minorHAnsi"/>
          <w:b/>
          <w:smallCaps/>
          <w:sz w:val="32"/>
          <w:szCs w:val="32"/>
          <w:u w:val="single"/>
        </w:rPr>
        <w:t>4</w:t>
      </w:r>
      <w:r w:rsidRPr="00C170C3">
        <w:rPr>
          <w:rFonts w:asciiTheme="minorHAnsi" w:hAnsiTheme="minorHAnsi" w:cstheme="minorHAnsi"/>
          <w:b/>
          <w:smallCaps/>
          <w:sz w:val="32"/>
          <w:szCs w:val="32"/>
          <w:u w:val="single"/>
        </w:rPr>
        <w:t xml:space="preserve"> m. </w:t>
      </w:r>
      <w:r>
        <w:rPr>
          <w:rFonts w:asciiTheme="minorHAnsi" w:hAnsiTheme="minorHAnsi" w:cstheme="minorHAnsi"/>
          <w:b/>
          <w:smallCaps/>
          <w:sz w:val="32"/>
          <w:szCs w:val="32"/>
          <w:u w:val="single"/>
        </w:rPr>
        <w:t>sausio</w:t>
      </w:r>
      <w:r w:rsidRPr="00C170C3">
        <w:rPr>
          <w:rFonts w:asciiTheme="minorHAnsi" w:hAnsiTheme="minorHAnsi" w:cstheme="minorHAnsi"/>
          <w:b/>
          <w:smallCaps/>
          <w:sz w:val="32"/>
          <w:szCs w:val="32"/>
          <w:u w:val="single"/>
        </w:rPr>
        <w:t xml:space="preserve"> 1 d. – 202</w:t>
      </w:r>
      <w:r>
        <w:rPr>
          <w:rFonts w:asciiTheme="minorHAnsi" w:hAnsiTheme="minorHAnsi" w:cstheme="minorHAnsi"/>
          <w:b/>
          <w:smallCaps/>
          <w:sz w:val="32"/>
          <w:szCs w:val="32"/>
          <w:u w:val="single"/>
        </w:rPr>
        <w:t>4</w:t>
      </w:r>
      <w:r w:rsidRPr="00C170C3">
        <w:rPr>
          <w:rFonts w:asciiTheme="minorHAnsi" w:hAnsiTheme="minorHAnsi" w:cstheme="minorHAnsi"/>
          <w:b/>
          <w:smallCaps/>
          <w:sz w:val="32"/>
          <w:szCs w:val="32"/>
          <w:u w:val="single"/>
        </w:rPr>
        <w:t xml:space="preserve"> m. </w:t>
      </w:r>
      <w:r>
        <w:rPr>
          <w:rFonts w:asciiTheme="minorHAnsi" w:hAnsiTheme="minorHAnsi" w:cstheme="minorHAnsi"/>
          <w:b/>
          <w:smallCaps/>
          <w:sz w:val="32"/>
          <w:szCs w:val="32"/>
          <w:u w:val="single"/>
        </w:rPr>
        <w:t>birželio</w:t>
      </w:r>
      <w:r w:rsidRPr="00C170C3">
        <w:rPr>
          <w:rFonts w:asciiTheme="minorHAnsi" w:hAnsiTheme="minorHAnsi" w:cstheme="minorHAnsi"/>
          <w:b/>
          <w:smallCaps/>
          <w:sz w:val="32"/>
          <w:szCs w:val="32"/>
          <w:u w:val="single"/>
        </w:rPr>
        <w:t xml:space="preserve"> 3</w:t>
      </w:r>
      <w:r>
        <w:rPr>
          <w:rFonts w:asciiTheme="minorHAnsi" w:hAnsiTheme="minorHAnsi" w:cstheme="minorHAnsi"/>
          <w:b/>
          <w:smallCaps/>
          <w:sz w:val="32"/>
          <w:szCs w:val="32"/>
          <w:u w:val="single"/>
        </w:rPr>
        <w:t>0</w:t>
      </w:r>
      <w:r w:rsidRPr="00C170C3">
        <w:rPr>
          <w:rFonts w:asciiTheme="minorHAnsi" w:hAnsiTheme="minorHAnsi" w:cstheme="minorHAnsi"/>
          <w:b/>
          <w:smallCaps/>
          <w:sz w:val="32"/>
          <w:szCs w:val="32"/>
          <w:u w:val="single"/>
        </w:rPr>
        <w:t xml:space="preserve"> d.</w:t>
      </w:r>
    </w:p>
    <w:p w14:paraId="3F1F22C0" w14:textId="77777777" w:rsidR="00837CD5" w:rsidRPr="00C170C3" w:rsidRDefault="00837CD5" w:rsidP="00837CD5">
      <w:pPr>
        <w:spacing w:after="0" w:line="240" w:lineRule="auto"/>
        <w:ind w:right="-1" w:firstLine="567"/>
        <w:jc w:val="both"/>
        <w:rPr>
          <w:rFonts w:cstheme="minorHAnsi"/>
        </w:rPr>
      </w:pPr>
      <w:r w:rsidRPr="00C170C3">
        <w:rPr>
          <w:rFonts w:cstheme="minorHAnsi"/>
          <w:b/>
        </w:rPr>
        <w:br w:type="page"/>
      </w:r>
      <w:r w:rsidRPr="00C170C3">
        <w:rPr>
          <w:rFonts w:cstheme="minorHAnsi"/>
          <w:b/>
        </w:rPr>
        <w:lastRenderedPageBreak/>
        <w:t>Svarbi pastaba</w:t>
      </w:r>
      <w:r w:rsidRPr="00C170C3">
        <w:rPr>
          <w:rFonts w:cstheme="minorHAnsi"/>
        </w:rPr>
        <w:t xml:space="preserve">: prieš supažindindami su Lietuvos vyriausiojo administracinio teismo Teismų praktikos departamento parengta Europos Žmogaus Teisių Teismo </w:t>
      </w:r>
      <w:r w:rsidRPr="00C170C3">
        <w:rPr>
          <w:rFonts w:cstheme="minorHAnsi"/>
          <w:bCs/>
        </w:rPr>
        <w:t>praktikos apžvalga</w:t>
      </w:r>
      <w:r w:rsidRPr="00C170C3">
        <w:rPr>
          <w:rFonts w:cstheme="minorHAnsi"/>
        </w:rPr>
        <w:t>, jos autoriai nori atkreipti skaitytojų dėmesį į tai, kad šiame dokumente yra pateikiamos neoficialios Europos Žmogaus Teisių Teismo procesinių sprendimų santraukos, kurios Europos Žmogaus Teisių Teismo ir Lietuvos vyriausiojo administracinio teismo nesaisto. Šis dokumentas yra tik informacinio pobūdžio, be kita ko, parengtas remiantis Europos Žmogaus Teisių Teismo informaciniais pranešimais ir bylų santraukomis. Taip pat norime atkreipti dėmesį į tai, kad pagal Konvencijos 44 straipsnio 2 dalį kolegijos sprendimas tampa galutiniu: a) šalims paskelbus, kad jos neprašo perduoti bylos svarstyti Didžiajai Kolegijai; ar b) praėjus trims mėnesiams nuo sprendimo datos, jei nebuvo prašymo perduoti bylą svarstyti Didžiajai Kolegijai; ar c) Didžiosios Kolegijos teisėjų komisijai atmetus prašymą pagal 43 straipsnį. Pagal to paties straipsnio 1 dalį Didžiosios Kolegijos sprendimas yra galutinis.</w:t>
      </w:r>
    </w:p>
    <w:p w14:paraId="2884FD30" w14:textId="77777777" w:rsidR="00837CD5" w:rsidRPr="00C170C3" w:rsidRDefault="00837CD5" w:rsidP="00837CD5">
      <w:pPr>
        <w:spacing w:after="0" w:line="240" w:lineRule="auto"/>
        <w:ind w:right="-1" w:firstLine="540"/>
        <w:jc w:val="both"/>
        <w:rPr>
          <w:rFonts w:cstheme="minorHAnsi"/>
        </w:rPr>
      </w:pPr>
      <w:r w:rsidRPr="00C170C3">
        <w:rPr>
          <w:rFonts w:cstheme="minorHAnsi"/>
        </w:rPr>
        <w:t xml:space="preserve">Atsižvelgiant į tai, kad oficialius ir nesutrumpintus sprendimų tekstus galite rasti Europos Žmogaus Teisių Teismo interneto svetainėje </w:t>
      </w:r>
      <w:hyperlink r:id="rId9" w:history="1">
        <w:r w:rsidRPr="00C170C3">
          <w:rPr>
            <w:rStyle w:val="Hipersaitas"/>
            <w:rFonts w:cstheme="minorHAnsi"/>
          </w:rPr>
          <w:t>www.echr.coe.int</w:t>
        </w:r>
      </w:hyperlink>
      <w:r w:rsidRPr="00C170C3">
        <w:rPr>
          <w:rFonts w:cstheme="minorHAnsi"/>
        </w:rPr>
        <w:t xml:space="preserve">, Lietuvos vyriausiasis administracinis teismas neprisiima atsakomybės už atliktą vertimą ir parengtos santraukos išsamumą. </w:t>
      </w:r>
    </w:p>
    <w:p w14:paraId="10F1E153" w14:textId="77777777" w:rsidR="00837CD5" w:rsidRPr="00C170C3" w:rsidRDefault="00837CD5" w:rsidP="00837CD5">
      <w:pPr>
        <w:spacing w:after="0" w:line="240" w:lineRule="auto"/>
        <w:ind w:right="-1" w:firstLine="540"/>
        <w:jc w:val="both"/>
        <w:rPr>
          <w:rFonts w:cstheme="minorHAnsi"/>
        </w:rPr>
      </w:pPr>
    </w:p>
    <w:p w14:paraId="2A5DDA30" w14:textId="77777777" w:rsidR="00837CD5" w:rsidRPr="00C170C3" w:rsidRDefault="00837CD5" w:rsidP="00837CD5">
      <w:pPr>
        <w:spacing w:after="0" w:line="240" w:lineRule="auto"/>
        <w:ind w:right="-1"/>
        <w:jc w:val="both"/>
        <w:rPr>
          <w:rFonts w:cstheme="minorHAnsi"/>
        </w:rPr>
      </w:pPr>
      <w:r w:rsidRPr="00C170C3">
        <w:rPr>
          <w:rFonts w:cstheme="minorHAnsi"/>
        </w:rPr>
        <w:t>Apžvalgoje naudojami pagrindiniai sutrumpinimai:</w:t>
      </w:r>
    </w:p>
    <w:p w14:paraId="6D881D48" w14:textId="77777777" w:rsidR="00837CD5" w:rsidRPr="00C170C3" w:rsidRDefault="00837CD5" w:rsidP="00837CD5">
      <w:pPr>
        <w:spacing w:after="0" w:line="240" w:lineRule="auto"/>
        <w:ind w:right="-1"/>
        <w:jc w:val="both"/>
        <w:rPr>
          <w:rFonts w:cstheme="minorHAnsi"/>
        </w:rPr>
      </w:pPr>
      <w:r w:rsidRPr="00C170C3">
        <w:rPr>
          <w:rFonts w:cstheme="minorHAnsi"/>
          <w:b/>
        </w:rPr>
        <w:t>EŽTT, Teismas</w:t>
      </w:r>
      <w:r w:rsidRPr="00C170C3">
        <w:rPr>
          <w:rFonts w:cstheme="minorHAnsi"/>
        </w:rPr>
        <w:t xml:space="preserve"> – Europos Žmogaus Teisių Teismas</w:t>
      </w:r>
    </w:p>
    <w:p w14:paraId="19D835B1" w14:textId="77777777" w:rsidR="00837CD5" w:rsidRPr="00C170C3" w:rsidRDefault="00837CD5" w:rsidP="00837CD5">
      <w:pPr>
        <w:spacing w:after="0" w:line="240" w:lineRule="auto"/>
        <w:ind w:right="-1"/>
        <w:jc w:val="both"/>
        <w:rPr>
          <w:rFonts w:cstheme="minorHAnsi"/>
        </w:rPr>
      </w:pPr>
      <w:r w:rsidRPr="00C170C3">
        <w:rPr>
          <w:rFonts w:cstheme="minorHAnsi"/>
          <w:b/>
        </w:rPr>
        <w:t>Konvencija</w:t>
      </w:r>
      <w:r w:rsidRPr="00C170C3">
        <w:rPr>
          <w:rFonts w:cstheme="minorHAnsi"/>
        </w:rPr>
        <w:t xml:space="preserve"> – Žmogaus teisių ir pagrindinių laisvių apsaugos konvencija</w:t>
      </w:r>
    </w:p>
    <w:p w14:paraId="16907562" w14:textId="77777777" w:rsidR="00837CD5" w:rsidRPr="00C170C3" w:rsidRDefault="00837CD5" w:rsidP="00837CD5">
      <w:pPr>
        <w:spacing w:after="0" w:line="240" w:lineRule="auto"/>
        <w:ind w:right="-1"/>
        <w:jc w:val="both"/>
        <w:rPr>
          <w:rFonts w:cstheme="minorHAnsi"/>
        </w:rPr>
      </w:pPr>
      <w:r w:rsidRPr="00C170C3">
        <w:rPr>
          <w:rFonts w:cstheme="minorHAnsi"/>
          <w:b/>
          <w:bCs/>
        </w:rPr>
        <w:t xml:space="preserve">ES </w:t>
      </w:r>
      <w:r w:rsidRPr="00C170C3">
        <w:rPr>
          <w:rFonts w:cstheme="minorHAnsi"/>
        </w:rPr>
        <w:t>– Europos Sąjunga</w:t>
      </w:r>
    </w:p>
    <w:p w14:paraId="3EF3FF47" w14:textId="77777777" w:rsidR="00837CD5" w:rsidRPr="00C170C3" w:rsidRDefault="00837CD5" w:rsidP="00837CD5">
      <w:pPr>
        <w:spacing w:after="0" w:line="240" w:lineRule="auto"/>
        <w:ind w:right="-1"/>
        <w:jc w:val="both"/>
        <w:rPr>
          <w:rFonts w:cstheme="minorHAnsi"/>
        </w:rPr>
      </w:pPr>
      <w:r w:rsidRPr="00C170C3">
        <w:rPr>
          <w:rFonts w:cstheme="minorHAnsi"/>
          <w:b/>
        </w:rPr>
        <w:t>Svarbos lygiai</w:t>
      </w:r>
      <w:r w:rsidRPr="00C170C3">
        <w:rPr>
          <w:rFonts w:cstheme="minorHAnsi"/>
        </w:rPr>
        <w:t xml:space="preserve"> – Europos Žmogaus Teisių Teismo nagrinėjamos bylos yra skirstomos į keturias kategorijas:</w:t>
      </w:r>
    </w:p>
    <w:p w14:paraId="319515FE" w14:textId="77777777" w:rsidR="00837CD5" w:rsidRPr="00C170C3" w:rsidRDefault="00837CD5" w:rsidP="00837CD5">
      <w:pPr>
        <w:tabs>
          <w:tab w:val="left" w:pos="567"/>
        </w:tabs>
        <w:spacing w:after="0" w:line="240" w:lineRule="auto"/>
        <w:ind w:left="539" w:right="-1"/>
        <w:jc w:val="both"/>
        <w:rPr>
          <w:rFonts w:cstheme="minorHAnsi"/>
        </w:rPr>
      </w:pPr>
      <w:r w:rsidRPr="00C170C3">
        <w:rPr>
          <w:rFonts w:cstheme="minorHAnsi"/>
          <w:i/>
        </w:rPr>
        <w:t>Svarbiausios bylos (angl. key cases)</w:t>
      </w:r>
      <w:r w:rsidRPr="00C170C3">
        <w:rPr>
          <w:rFonts w:cstheme="minorHAnsi"/>
        </w:rPr>
        <w:t xml:space="preserve"> – ypatingos svarbos sprendimai, kuriuos atrenka specialus Teismo teisėjų biuras, sudarytas iš Teismo pirmininko, pirmininko pavaduotojų ir skyrių pirmininkų.</w:t>
      </w:r>
    </w:p>
    <w:p w14:paraId="3F798AE3" w14:textId="77777777" w:rsidR="00837CD5" w:rsidRPr="00C170C3" w:rsidRDefault="00837CD5" w:rsidP="00837CD5">
      <w:pPr>
        <w:spacing w:after="0" w:line="240" w:lineRule="auto"/>
        <w:ind w:left="539" w:right="-1"/>
        <w:jc w:val="both"/>
        <w:rPr>
          <w:rFonts w:cstheme="minorHAnsi"/>
        </w:rPr>
      </w:pPr>
      <w:r w:rsidRPr="00C170C3">
        <w:rPr>
          <w:rFonts w:cstheme="minorHAnsi"/>
          <w:i/>
        </w:rPr>
        <w:t>1 = Didelė svarba</w:t>
      </w:r>
      <w:r w:rsidRPr="00C170C3">
        <w:rPr>
          <w:rFonts w:cstheme="minorHAnsi"/>
        </w:rPr>
        <w:t>: sprendimai, kurie reikšmingai prisideda prie Teismo praktikos plėtojimo, aiškinimo ar keitimo.</w:t>
      </w:r>
    </w:p>
    <w:p w14:paraId="34D20999" w14:textId="77777777" w:rsidR="00837CD5" w:rsidRPr="00C170C3" w:rsidRDefault="00837CD5" w:rsidP="00837CD5">
      <w:pPr>
        <w:spacing w:after="0" w:line="240" w:lineRule="auto"/>
        <w:ind w:left="539" w:right="-1"/>
        <w:jc w:val="both"/>
        <w:rPr>
          <w:rFonts w:cstheme="minorHAnsi"/>
        </w:rPr>
      </w:pPr>
      <w:r w:rsidRPr="00C170C3">
        <w:rPr>
          <w:rFonts w:cstheme="minorHAnsi"/>
          <w:i/>
        </w:rPr>
        <w:t>2 = Vidutinė svarba</w:t>
      </w:r>
      <w:r w:rsidRPr="00C170C3">
        <w:rPr>
          <w:rFonts w:cstheme="minorHAnsi"/>
        </w:rPr>
        <w:t>: sprendimai, kurie nors ir reikšmingai praktikos nepakeičia, tačiau nėra susiję vien tik su nusistovėjusios praktikos laikymusi.</w:t>
      </w:r>
    </w:p>
    <w:p w14:paraId="78C6F1F8" w14:textId="77777777" w:rsidR="00837CD5" w:rsidRPr="00C170C3" w:rsidRDefault="00837CD5" w:rsidP="00837CD5">
      <w:pPr>
        <w:spacing w:after="0" w:line="240" w:lineRule="auto"/>
        <w:ind w:left="539" w:right="-1"/>
        <w:jc w:val="both"/>
        <w:rPr>
          <w:rFonts w:cstheme="minorHAnsi"/>
        </w:rPr>
      </w:pPr>
      <w:r w:rsidRPr="00C170C3">
        <w:rPr>
          <w:rFonts w:cstheme="minorHAnsi"/>
          <w:i/>
        </w:rPr>
        <w:t>3 = Mažesnė svarba</w:t>
      </w:r>
      <w:r w:rsidRPr="00C170C3">
        <w:rPr>
          <w:rFonts w:cstheme="minorHAnsi"/>
        </w:rPr>
        <w:t>: sprendimai, pasižymintys mažu teisiniu interesu, t. y. sprendimai, kuriuose paprasčiausiai laikomasi nusistovėjusios teismo praktikos ir kt.</w:t>
      </w:r>
    </w:p>
    <w:p w14:paraId="033DAA90" w14:textId="77777777" w:rsidR="00837CD5" w:rsidRPr="00C170C3" w:rsidRDefault="00837CD5" w:rsidP="00837CD5">
      <w:pPr>
        <w:spacing w:after="0" w:line="240" w:lineRule="auto"/>
        <w:ind w:right="-1"/>
        <w:jc w:val="both"/>
        <w:rPr>
          <w:rFonts w:cstheme="minorHAnsi"/>
          <w:b/>
        </w:rPr>
      </w:pPr>
      <w:r w:rsidRPr="00C170C3">
        <w:rPr>
          <w:rFonts w:cstheme="minorHAnsi"/>
          <w:b/>
        </w:rPr>
        <w:br w:type="page"/>
      </w:r>
    </w:p>
    <w:sdt>
      <w:sdtPr>
        <w:rPr>
          <w:rFonts w:asciiTheme="minorHAnsi" w:eastAsiaTheme="minorHAnsi" w:hAnsiTheme="minorHAnsi" w:cstheme="minorBidi"/>
          <w:bCs w:val="0"/>
          <w:color w:val="auto"/>
          <w:sz w:val="22"/>
          <w:szCs w:val="22"/>
          <w:lang w:eastAsia="en-US"/>
        </w:rPr>
        <w:id w:val="1087499545"/>
        <w:docPartObj>
          <w:docPartGallery w:val="Table of Contents"/>
          <w:docPartUnique/>
        </w:docPartObj>
      </w:sdtPr>
      <w:sdtContent>
        <w:p w14:paraId="6FC50657" w14:textId="77777777" w:rsidR="00837CD5" w:rsidRPr="00C170C3" w:rsidRDefault="00837CD5" w:rsidP="00837CD5">
          <w:pPr>
            <w:pStyle w:val="Turinioantrat"/>
            <w:ind w:right="-1"/>
            <w:rPr>
              <w:bCs w:val="0"/>
              <w:color w:val="auto"/>
              <w:sz w:val="2"/>
              <w:szCs w:val="2"/>
            </w:rPr>
          </w:pPr>
        </w:p>
        <w:p w14:paraId="13C6143D" w14:textId="75F1D1D2" w:rsidR="00A3756E" w:rsidRDefault="00837CD5">
          <w:pPr>
            <w:pStyle w:val="Turinys1"/>
            <w:rPr>
              <w:rFonts w:eastAsiaTheme="minorEastAsia"/>
              <w:color w:val="auto"/>
              <w:kern w:val="2"/>
              <w:lang w:val="en-US"/>
              <w14:ligatures w14:val="standardContextual"/>
            </w:rPr>
          </w:pPr>
          <w:r w:rsidRPr="00C170C3">
            <w:rPr>
              <w:color w:val="auto"/>
            </w:rPr>
            <w:fldChar w:fldCharType="begin"/>
          </w:r>
          <w:r w:rsidRPr="00C170C3">
            <w:rPr>
              <w:color w:val="auto"/>
            </w:rPr>
            <w:instrText xml:space="preserve"> TOC \o "1-3" \h \z \u </w:instrText>
          </w:r>
          <w:r w:rsidRPr="00C170C3">
            <w:rPr>
              <w:color w:val="auto"/>
            </w:rPr>
            <w:fldChar w:fldCharType="separate"/>
          </w:r>
          <w:hyperlink w:anchor="_Toc181709476" w:history="1">
            <w:r w:rsidR="00A3756E" w:rsidRPr="00605A75">
              <w:rPr>
                <w:rStyle w:val="Hipersaitas"/>
                <w:rFonts w:eastAsia="Times New Roman"/>
              </w:rPr>
              <w:t>KANKINIMO UŽDRAUDIMAS (3 straipsnis)</w:t>
            </w:r>
            <w:r w:rsidR="00A3756E">
              <w:rPr>
                <w:webHidden/>
              </w:rPr>
              <w:tab/>
            </w:r>
            <w:r w:rsidR="00A3756E">
              <w:rPr>
                <w:webHidden/>
              </w:rPr>
              <w:fldChar w:fldCharType="begin"/>
            </w:r>
            <w:r w:rsidR="00A3756E">
              <w:rPr>
                <w:webHidden/>
              </w:rPr>
              <w:instrText xml:space="preserve"> PAGEREF _Toc181709476 \h </w:instrText>
            </w:r>
            <w:r w:rsidR="00A3756E">
              <w:rPr>
                <w:webHidden/>
              </w:rPr>
            </w:r>
            <w:r w:rsidR="00A3756E">
              <w:rPr>
                <w:webHidden/>
              </w:rPr>
              <w:fldChar w:fldCharType="separate"/>
            </w:r>
            <w:r w:rsidR="00A3756E">
              <w:rPr>
                <w:webHidden/>
              </w:rPr>
              <w:t>5</w:t>
            </w:r>
            <w:r w:rsidR="00A3756E">
              <w:rPr>
                <w:webHidden/>
              </w:rPr>
              <w:fldChar w:fldCharType="end"/>
            </w:r>
          </w:hyperlink>
        </w:p>
        <w:p w14:paraId="31031651" w14:textId="52E37981"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477" w:history="1">
            <w:r w:rsidRPr="00605A75">
              <w:rPr>
                <w:rStyle w:val="Hipersaitas"/>
                <w:rFonts w:cstheme="minorHAnsi"/>
              </w:rPr>
              <w:t>Sherov ir kiti prieš Lenkiją</w:t>
            </w:r>
            <w:r>
              <w:rPr>
                <w:webHidden/>
              </w:rPr>
              <w:tab/>
            </w:r>
            <w:r>
              <w:rPr>
                <w:webHidden/>
              </w:rPr>
              <w:fldChar w:fldCharType="begin"/>
            </w:r>
            <w:r>
              <w:rPr>
                <w:webHidden/>
              </w:rPr>
              <w:instrText xml:space="preserve"> PAGEREF _Toc181709477 \h </w:instrText>
            </w:r>
            <w:r>
              <w:rPr>
                <w:webHidden/>
              </w:rPr>
            </w:r>
            <w:r>
              <w:rPr>
                <w:webHidden/>
              </w:rPr>
              <w:fldChar w:fldCharType="separate"/>
            </w:r>
            <w:r>
              <w:rPr>
                <w:webHidden/>
              </w:rPr>
              <w:t>5</w:t>
            </w:r>
            <w:r>
              <w:rPr>
                <w:webHidden/>
              </w:rPr>
              <w:fldChar w:fldCharType="end"/>
            </w:r>
          </w:hyperlink>
        </w:p>
        <w:p w14:paraId="5E7BF711" w14:textId="7BE835AC" w:rsidR="00A3756E" w:rsidRDefault="00A3756E">
          <w:pPr>
            <w:pStyle w:val="Turinys3"/>
            <w:rPr>
              <w:rFonts w:eastAsiaTheme="minorEastAsia" w:cstheme="minorBidi"/>
              <w:bCs w:val="0"/>
              <w:i w:val="0"/>
              <w:iCs w:val="0"/>
              <w:kern w:val="2"/>
              <w:lang w:val="en-US"/>
              <w14:ligatures w14:val="standardContextual"/>
            </w:rPr>
          </w:pPr>
          <w:hyperlink w:anchor="_Toc181709478" w:history="1">
            <w:r w:rsidRPr="00605A75">
              <w:rPr>
                <w:rStyle w:val="Hipersaitas"/>
              </w:rPr>
              <w:t>Dėl atsisakymo įleisti į šalį teisėtai bandančius atvykti užsieniečius, kurie prašo tarptautinės apsaugos</w:t>
            </w:r>
            <w:r>
              <w:rPr>
                <w:webHidden/>
              </w:rPr>
              <w:tab/>
            </w:r>
            <w:r>
              <w:rPr>
                <w:webHidden/>
              </w:rPr>
              <w:fldChar w:fldCharType="begin"/>
            </w:r>
            <w:r>
              <w:rPr>
                <w:webHidden/>
              </w:rPr>
              <w:instrText xml:space="preserve"> PAGEREF _Toc181709478 \h </w:instrText>
            </w:r>
            <w:r>
              <w:rPr>
                <w:webHidden/>
              </w:rPr>
            </w:r>
            <w:r>
              <w:rPr>
                <w:webHidden/>
              </w:rPr>
              <w:fldChar w:fldCharType="separate"/>
            </w:r>
            <w:r>
              <w:rPr>
                <w:webHidden/>
              </w:rPr>
              <w:t>5</w:t>
            </w:r>
            <w:r>
              <w:rPr>
                <w:webHidden/>
              </w:rPr>
              <w:fldChar w:fldCharType="end"/>
            </w:r>
          </w:hyperlink>
        </w:p>
        <w:p w14:paraId="54C2389E" w14:textId="7F110F19" w:rsidR="00A3756E" w:rsidRDefault="00A3756E">
          <w:pPr>
            <w:pStyle w:val="Turinys1"/>
            <w:rPr>
              <w:rFonts w:eastAsiaTheme="minorEastAsia"/>
              <w:color w:val="auto"/>
              <w:kern w:val="2"/>
              <w:lang w:val="en-US"/>
              <w14:ligatures w14:val="standardContextual"/>
            </w:rPr>
          </w:pPr>
          <w:hyperlink w:anchor="_Toc181709479" w:history="1">
            <w:r w:rsidRPr="00605A75">
              <w:rPr>
                <w:rStyle w:val="Hipersaitas"/>
                <w:rFonts w:eastAsia="Times New Roman"/>
              </w:rPr>
              <w:t>TEISĖ Į TEISINGĄ BYLOS NAGRINĖJIMĄ (6 straipsnis)</w:t>
            </w:r>
            <w:r>
              <w:rPr>
                <w:webHidden/>
              </w:rPr>
              <w:tab/>
            </w:r>
            <w:r>
              <w:rPr>
                <w:webHidden/>
              </w:rPr>
              <w:fldChar w:fldCharType="begin"/>
            </w:r>
            <w:r>
              <w:rPr>
                <w:webHidden/>
              </w:rPr>
              <w:instrText xml:space="preserve"> PAGEREF _Toc181709479 \h </w:instrText>
            </w:r>
            <w:r>
              <w:rPr>
                <w:webHidden/>
              </w:rPr>
            </w:r>
            <w:r>
              <w:rPr>
                <w:webHidden/>
              </w:rPr>
              <w:fldChar w:fldCharType="separate"/>
            </w:r>
            <w:r>
              <w:rPr>
                <w:webHidden/>
              </w:rPr>
              <w:t>6</w:t>
            </w:r>
            <w:r>
              <w:rPr>
                <w:webHidden/>
              </w:rPr>
              <w:fldChar w:fldCharType="end"/>
            </w:r>
          </w:hyperlink>
        </w:p>
        <w:p w14:paraId="3A02DF63" w14:textId="1686F250"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480" w:history="1">
            <w:r w:rsidRPr="00605A75">
              <w:rPr>
                <w:rStyle w:val="Hipersaitas"/>
              </w:rPr>
              <w:t>Jakutavičius prieš Lietuvą</w:t>
            </w:r>
            <w:r>
              <w:rPr>
                <w:webHidden/>
              </w:rPr>
              <w:tab/>
            </w:r>
            <w:r>
              <w:rPr>
                <w:webHidden/>
              </w:rPr>
              <w:fldChar w:fldCharType="begin"/>
            </w:r>
            <w:r>
              <w:rPr>
                <w:webHidden/>
              </w:rPr>
              <w:instrText xml:space="preserve"> PAGEREF _Toc181709480 \h </w:instrText>
            </w:r>
            <w:r>
              <w:rPr>
                <w:webHidden/>
              </w:rPr>
            </w:r>
            <w:r>
              <w:rPr>
                <w:webHidden/>
              </w:rPr>
              <w:fldChar w:fldCharType="separate"/>
            </w:r>
            <w:r>
              <w:rPr>
                <w:webHidden/>
              </w:rPr>
              <w:t>6</w:t>
            </w:r>
            <w:r>
              <w:rPr>
                <w:webHidden/>
              </w:rPr>
              <w:fldChar w:fldCharType="end"/>
            </w:r>
          </w:hyperlink>
        </w:p>
        <w:p w14:paraId="1B40B893" w14:textId="24D03E3B" w:rsidR="00A3756E" w:rsidRDefault="00A3756E">
          <w:pPr>
            <w:pStyle w:val="Turinys3"/>
            <w:rPr>
              <w:rFonts w:eastAsiaTheme="minorEastAsia" w:cstheme="minorBidi"/>
              <w:bCs w:val="0"/>
              <w:i w:val="0"/>
              <w:iCs w:val="0"/>
              <w:kern w:val="2"/>
              <w:lang w:val="en-US"/>
              <w14:ligatures w14:val="standardContextual"/>
            </w:rPr>
          </w:pPr>
          <w:hyperlink w:anchor="_Toc181709481" w:history="1">
            <w:r w:rsidRPr="00605A75">
              <w:rPr>
                <w:rStyle w:val="Hipersaitas"/>
                <w:rFonts w:ascii="Calibri" w:eastAsia="Times New Roman" w:hAnsi="Calibri" w:cs="Times New Roman"/>
              </w:rPr>
              <w:t>Dėl nacionalinių teismų atsisakymo atlyginti išlaidas, kurias asmuo patyrė administracinio teisės pažeidimo byloje, sėkmingai nuginčijęs jo nubaudimą už vairavimą neblaiviam</w:t>
            </w:r>
            <w:r>
              <w:rPr>
                <w:webHidden/>
              </w:rPr>
              <w:tab/>
            </w:r>
            <w:r>
              <w:rPr>
                <w:webHidden/>
              </w:rPr>
              <w:fldChar w:fldCharType="begin"/>
            </w:r>
            <w:r>
              <w:rPr>
                <w:webHidden/>
              </w:rPr>
              <w:instrText xml:space="preserve"> PAGEREF _Toc181709481 \h </w:instrText>
            </w:r>
            <w:r>
              <w:rPr>
                <w:webHidden/>
              </w:rPr>
            </w:r>
            <w:r>
              <w:rPr>
                <w:webHidden/>
              </w:rPr>
              <w:fldChar w:fldCharType="separate"/>
            </w:r>
            <w:r>
              <w:rPr>
                <w:webHidden/>
              </w:rPr>
              <w:t>6</w:t>
            </w:r>
            <w:r>
              <w:rPr>
                <w:webHidden/>
              </w:rPr>
              <w:fldChar w:fldCharType="end"/>
            </w:r>
          </w:hyperlink>
        </w:p>
        <w:p w14:paraId="1CF5B08D" w14:textId="364D82AB"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482" w:history="1">
            <w:r w:rsidRPr="00605A75">
              <w:rPr>
                <w:rStyle w:val="Hipersaitas"/>
              </w:rPr>
              <w:t>Sacharuk prieš Lietuvą</w:t>
            </w:r>
            <w:r>
              <w:rPr>
                <w:webHidden/>
              </w:rPr>
              <w:tab/>
            </w:r>
            <w:r>
              <w:rPr>
                <w:webHidden/>
              </w:rPr>
              <w:fldChar w:fldCharType="begin"/>
            </w:r>
            <w:r>
              <w:rPr>
                <w:webHidden/>
              </w:rPr>
              <w:instrText xml:space="preserve"> PAGEREF _Toc181709482 \h </w:instrText>
            </w:r>
            <w:r>
              <w:rPr>
                <w:webHidden/>
              </w:rPr>
            </w:r>
            <w:r>
              <w:rPr>
                <w:webHidden/>
              </w:rPr>
              <w:fldChar w:fldCharType="separate"/>
            </w:r>
            <w:r>
              <w:rPr>
                <w:webHidden/>
              </w:rPr>
              <w:t>8</w:t>
            </w:r>
            <w:r>
              <w:rPr>
                <w:webHidden/>
              </w:rPr>
              <w:fldChar w:fldCharType="end"/>
            </w:r>
          </w:hyperlink>
        </w:p>
        <w:p w14:paraId="1882E033" w14:textId="48B41B2E" w:rsidR="00A3756E" w:rsidRDefault="00A3756E">
          <w:pPr>
            <w:pStyle w:val="Turinys3"/>
            <w:rPr>
              <w:rFonts w:eastAsiaTheme="minorEastAsia" w:cstheme="minorBidi"/>
              <w:bCs w:val="0"/>
              <w:i w:val="0"/>
              <w:iCs w:val="0"/>
              <w:kern w:val="2"/>
              <w:lang w:val="en-US"/>
              <w14:ligatures w14:val="standardContextual"/>
            </w:rPr>
          </w:pPr>
          <w:hyperlink w:anchor="_Toc181709483" w:history="1">
            <w:r w:rsidRPr="00605A75">
              <w:rPr>
                <w:rStyle w:val="Hipersaitas"/>
                <w:rFonts w:ascii="Calibri" w:eastAsia="Times New Roman" w:hAnsi="Calibri" w:cs="Calibri"/>
                <w:shd w:val="clear" w:color="auto" w:fill="FFFFFF"/>
                <w:lang w:eastAsia="lt-LT"/>
              </w:rPr>
              <w:t>Dėl teisėjo šališkumo, antrą kartą dalyvaujant pareiškėjo baudžiamosios bylos nagrinėjime ir esant duomenų, kad teisėjas galėjo susidaryti išankstinę nuomonę dėl pareiškėjo kaltės</w:t>
            </w:r>
            <w:r>
              <w:rPr>
                <w:webHidden/>
              </w:rPr>
              <w:tab/>
            </w:r>
            <w:r>
              <w:rPr>
                <w:webHidden/>
              </w:rPr>
              <w:fldChar w:fldCharType="begin"/>
            </w:r>
            <w:r>
              <w:rPr>
                <w:webHidden/>
              </w:rPr>
              <w:instrText xml:space="preserve"> PAGEREF _Toc181709483 \h </w:instrText>
            </w:r>
            <w:r>
              <w:rPr>
                <w:webHidden/>
              </w:rPr>
            </w:r>
            <w:r>
              <w:rPr>
                <w:webHidden/>
              </w:rPr>
              <w:fldChar w:fldCharType="separate"/>
            </w:r>
            <w:r>
              <w:rPr>
                <w:webHidden/>
              </w:rPr>
              <w:t>8</w:t>
            </w:r>
            <w:r>
              <w:rPr>
                <w:webHidden/>
              </w:rPr>
              <w:fldChar w:fldCharType="end"/>
            </w:r>
          </w:hyperlink>
        </w:p>
        <w:p w14:paraId="6FDFC93C" w14:textId="3A880166"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484" w:history="1">
            <w:r w:rsidRPr="00605A75">
              <w:rPr>
                <w:rStyle w:val="Hipersaitas"/>
              </w:rPr>
              <w:t>Patricolo ir kiti prieš Italiją</w:t>
            </w:r>
            <w:r>
              <w:rPr>
                <w:webHidden/>
              </w:rPr>
              <w:tab/>
            </w:r>
            <w:r>
              <w:rPr>
                <w:webHidden/>
              </w:rPr>
              <w:fldChar w:fldCharType="begin"/>
            </w:r>
            <w:r>
              <w:rPr>
                <w:webHidden/>
              </w:rPr>
              <w:instrText xml:space="preserve"> PAGEREF _Toc181709484 \h </w:instrText>
            </w:r>
            <w:r>
              <w:rPr>
                <w:webHidden/>
              </w:rPr>
            </w:r>
            <w:r>
              <w:rPr>
                <w:webHidden/>
              </w:rPr>
              <w:fldChar w:fldCharType="separate"/>
            </w:r>
            <w:r>
              <w:rPr>
                <w:webHidden/>
              </w:rPr>
              <w:t>10</w:t>
            </w:r>
            <w:r>
              <w:rPr>
                <w:webHidden/>
              </w:rPr>
              <w:fldChar w:fldCharType="end"/>
            </w:r>
          </w:hyperlink>
        </w:p>
        <w:p w14:paraId="7737F24A" w14:textId="110E3AB2" w:rsidR="00A3756E" w:rsidRDefault="00A3756E">
          <w:pPr>
            <w:pStyle w:val="Turinys3"/>
            <w:rPr>
              <w:rFonts w:eastAsiaTheme="minorEastAsia" w:cstheme="minorBidi"/>
              <w:bCs w:val="0"/>
              <w:i w:val="0"/>
              <w:iCs w:val="0"/>
              <w:kern w:val="2"/>
              <w:lang w:val="en-US"/>
              <w14:ligatures w14:val="standardContextual"/>
            </w:rPr>
          </w:pPr>
          <w:hyperlink w:anchor="_Toc181709485" w:history="1">
            <w:r w:rsidRPr="00605A75">
              <w:rPr>
                <w:rStyle w:val="Hipersaitas"/>
                <w:rFonts w:ascii="Calibri" w:eastAsia="Times New Roman" w:hAnsi="Calibri" w:cs="Times New Roman"/>
              </w:rPr>
              <w:t>Dėl atsisakymo priimti kasacinį skundą per teisės aktuose nustatytą terminą nepateikus patvirtinimo, kad popierinė pranešimo apie skundžiamo sprendimo įteikimą kopija yra tikra elektroninio originalo kopija</w:t>
            </w:r>
            <w:r>
              <w:rPr>
                <w:webHidden/>
              </w:rPr>
              <w:tab/>
            </w:r>
            <w:r>
              <w:rPr>
                <w:webHidden/>
              </w:rPr>
              <w:fldChar w:fldCharType="begin"/>
            </w:r>
            <w:r>
              <w:rPr>
                <w:webHidden/>
              </w:rPr>
              <w:instrText xml:space="preserve"> PAGEREF _Toc181709485 \h </w:instrText>
            </w:r>
            <w:r>
              <w:rPr>
                <w:webHidden/>
              </w:rPr>
            </w:r>
            <w:r>
              <w:rPr>
                <w:webHidden/>
              </w:rPr>
              <w:fldChar w:fldCharType="separate"/>
            </w:r>
            <w:r>
              <w:rPr>
                <w:webHidden/>
              </w:rPr>
              <w:t>10</w:t>
            </w:r>
            <w:r>
              <w:rPr>
                <w:webHidden/>
              </w:rPr>
              <w:fldChar w:fldCharType="end"/>
            </w:r>
          </w:hyperlink>
        </w:p>
        <w:p w14:paraId="3856E583" w14:textId="5EEF9C2D"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486" w:history="1">
            <w:r w:rsidRPr="00605A75">
              <w:rPr>
                <w:rStyle w:val="Hipersaitas"/>
              </w:rPr>
              <w:t>Kurkut ir kt. prieš Turkiją</w:t>
            </w:r>
            <w:r>
              <w:rPr>
                <w:webHidden/>
              </w:rPr>
              <w:tab/>
            </w:r>
            <w:r>
              <w:rPr>
                <w:webHidden/>
              </w:rPr>
              <w:fldChar w:fldCharType="begin"/>
            </w:r>
            <w:r>
              <w:rPr>
                <w:webHidden/>
              </w:rPr>
              <w:instrText xml:space="preserve"> PAGEREF _Toc181709486 \h </w:instrText>
            </w:r>
            <w:r>
              <w:rPr>
                <w:webHidden/>
              </w:rPr>
            </w:r>
            <w:r>
              <w:rPr>
                <w:webHidden/>
              </w:rPr>
              <w:fldChar w:fldCharType="separate"/>
            </w:r>
            <w:r>
              <w:rPr>
                <w:webHidden/>
              </w:rPr>
              <w:t>12</w:t>
            </w:r>
            <w:r>
              <w:rPr>
                <w:webHidden/>
              </w:rPr>
              <w:fldChar w:fldCharType="end"/>
            </w:r>
          </w:hyperlink>
        </w:p>
        <w:p w14:paraId="78AFAA54" w14:textId="158F5C94" w:rsidR="00A3756E" w:rsidRDefault="00A3756E">
          <w:pPr>
            <w:pStyle w:val="Turinys3"/>
            <w:rPr>
              <w:rFonts w:eastAsiaTheme="minorEastAsia" w:cstheme="minorBidi"/>
              <w:bCs w:val="0"/>
              <w:i w:val="0"/>
              <w:iCs w:val="0"/>
              <w:kern w:val="2"/>
              <w:lang w:val="en-US"/>
              <w14:ligatures w14:val="standardContextual"/>
            </w:rPr>
          </w:pPr>
          <w:hyperlink w:anchor="_Toc181709487" w:history="1">
            <w:r w:rsidRPr="00605A75">
              <w:rPr>
                <w:rStyle w:val="Hipersaitas"/>
                <w:rFonts w:ascii="Calibri" w:eastAsia="Times New Roman" w:hAnsi="Calibri" w:cs="Times New Roman"/>
              </w:rPr>
              <w:t>Dėl teismo pareigos atlikti išsamią asmens patikimumo patikros duomenų, su kuriais asmuo nėra supažindinamas ir kuriais remiantis toks asmuo nepriimamas į valstybės tarnybą valstybėje paskelbtos nepaprastosios padėties metu, teisminę kontrolę</w:t>
            </w:r>
            <w:r>
              <w:rPr>
                <w:webHidden/>
              </w:rPr>
              <w:tab/>
            </w:r>
            <w:r>
              <w:rPr>
                <w:webHidden/>
              </w:rPr>
              <w:fldChar w:fldCharType="begin"/>
            </w:r>
            <w:r>
              <w:rPr>
                <w:webHidden/>
              </w:rPr>
              <w:instrText xml:space="preserve"> PAGEREF _Toc181709487 \h </w:instrText>
            </w:r>
            <w:r>
              <w:rPr>
                <w:webHidden/>
              </w:rPr>
            </w:r>
            <w:r>
              <w:rPr>
                <w:webHidden/>
              </w:rPr>
              <w:fldChar w:fldCharType="separate"/>
            </w:r>
            <w:r>
              <w:rPr>
                <w:webHidden/>
              </w:rPr>
              <w:t>12</w:t>
            </w:r>
            <w:r>
              <w:rPr>
                <w:webHidden/>
              </w:rPr>
              <w:fldChar w:fldCharType="end"/>
            </w:r>
          </w:hyperlink>
        </w:p>
        <w:p w14:paraId="06264D42" w14:textId="0C6DB185" w:rsidR="00A3756E" w:rsidRDefault="00A3756E">
          <w:pPr>
            <w:pStyle w:val="Turinys1"/>
            <w:rPr>
              <w:rFonts w:eastAsiaTheme="minorEastAsia"/>
              <w:color w:val="auto"/>
              <w:kern w:val="2"/>
              <w:lang w:val="en-US"/>
              <w14:ligatures w14:val="standardContextual"/>
            </w:rPr>
          </w:pPr>
          <w:hyperlink w:anchor="_Toc181709488" w:history="1">
            <w:r w:rsidRPr="00605A75">
              <w:rPr>
                <w:rStyle w:val="Hipersaitas"/>
                <w:rFonts w:eastAsia="Times New Roman" w:cstheme="minorHAnsi"/>
              </w:rPr>
              <w:t>TEISĖ Į PRIVATAUS IR ŠEIMOS GYVENIMO GERBIMĄ (8 straipsnis)</w:t>
            </w:r>
            <w:r>
              <w:rPr>
                <w:webHidden/>
              </w:rPr>
              <w:tab/>
            </w:r>
            <w:r>
              <w:rPr>
                <w:webHidden/>
              </w:rPr>
              <w:fldChar w:fldCharType="begin"/>
            </w:r>
            <w:r>
              <w:rPr>
                <w:webHidden/>
              </w:rPr>
              <w:instrText xml:space="preserve"> PAGEREF _Toc181709488 \h </w:instrText>
            </w:r>
            <w:r>
              <w:rPr>
                <w:webHidden/>
              </w:rPr>
            </w:r>
            <w:r>
              <w:rPr>
                <w:webHidden/>
              </w:rPr>
              <w:fldChar w:fldCharType="separate"/>
            </w:r>
            <w:r>
              <w:rPr>
                <w:webHidden/>
              </w:rPr>
              <w:t>13</w:t>
            </w:r>
            <w:r>
              <w:rPr>
                <w:webHidden/>
              </w:rPr>
              <w:fldChar w:fldCharType="end"/>
            </w:r>
          </w:hyperlink>
        </w:p>
        <w:p w14:paraId="066E9075" w14:textId="156DD8FB"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489" w:history="1">
            <w:r w:rsidRPr="00605A75">
              <w:rPr>
                <w:rStyle w:val="Hipersaitas"/>
              </w:rPr>
              <w:t>Diaconeasa prieš Rumuniją</w:t>
            </w:r>
            <w:r>
              <w:rPr>
                <w:webHidden/>
              </w:rPr>
              <w:tab/>
            </w:r>
            <w:r>
              <w:rPr>
                <w:webHidden/>
              </w:rPr>
              <w:fldChar w:fldCharType="begin"/>
            </w:r>
            <w:r>
              <w:rPr>
                <w:webHidden/>
              </w:rPr>
              <w:instrText xml:space="preserve"> PAGEREF _Toc181709489 \h </w:instrText>
            </w:r>
            <w:r>
              <w:rPr>
                <w:webHidden/>
              </w:rPr>
            </w:r>
            <w:r>
              <w:rPr>
                <w:webHidden/>
              </w:rPr>
              <w:fldChar w:fldCharType="separate"/>
            </w:r>
            <w:r>
              <w:rPr>
                <w:webHidden/>
              </w:rPr>
              <w:t>13</w:t>
            </w:r>
            <w:r>
              <w:rPr>
                <w:webHidden/>
              </w:rPr>
              <w:fldChar w:fldCharType="end"/>
            </w:r>
          </w:hyperlink>
        </w:p>
        <w:p w14:paraId="5AA883D0" w14:textId="224E381F" w:rsidR="00A3756E" w:rsidRDefault="00A3756E">
          <w:pPr>
            <w:pStyle w:val="Turinys3"/>
            <w:rPr>
              <w:rFonts w:eastAsiaTheme="minorEastAsia" w:cstheme="minorBidi"/>
              <w:bCs w:val="0"/>
              <w:i w:val="0"/>
              <w:iCs w:val="0"/>
              <w:kern w:val="2"/>
              <w:lang w:val="en-US"/>
              <w14:ligatures w14:val="standardContextual"/>
            </w:rPr>
          </w:pPr>
          <w:hyperlink w:anchor="_Toc181709490" w:history="1">
            <w:r w:rsidRPr="00605A75">
              <w:rPr>
                <w:rStyle w:val="Hipersaitas"/>
                <w:rFonts w:ascii="Calibri" w:eastAsia="Times New Roman" w:hAnsi="Calibri" w:cs="Times New Roman"/>
              </w:rPr>
              <w:t>Dėl valstybės finansuojamo asmeninio asistento fizinę negalią turinčiam asmeniui atšaukimo, dėl ko visiškai prarandama autonomija</w:t>
            </w:r>
            <w:r>
              <w:rPr>
                <w:webHidden/>
              </w:rPr>
              <w:tab/>
            </w:r>
            <w:r>
              <w:rPr>
                <w:webHidden/>
              </w:rPr>
              <w:fldChar w:fldCharType="begin"/>
            </w:r>
            <w:r>
              <w:rPr>
                <w:webHidden/>
              </w:rPr>
              <w:instrText xml:space="preserve"> PAGEREF _Toc181709490 \h </w:instrText>
            </w:r>
            <w:r>
              <w:rPr>
                <w:webHidden/>
              </w:rPr>
            </w:r>
            <w:r>
              <w:rPr>
                <w:webHidden/>
              </w:rPr>
              <w:fldChar w:fldCharType="separate"/>
            </w:r>
            <w:r>
              <w:rPr>
                <w:webHidden/>
              </w:rPr>
              <w:t>13</w:t>
            </w:r>
            <w:r>
              <w:rPr>
                <w:webHidden/>
              </w:rPr>
              <w:fldChar w:fldCharType="end"/>
            </w:r>
          </w:hyperlink>
        </w:p>
        <w:p w14:paraId="0DD59BF5" w14:textId="2BF7B4F8"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491" w:history="1">
            <w:r w:rsidRPr="00605A75">
              <w:rPr>
                <w:rStyle w:val="Hipersaitas"/>
              </w:rPr>
              <w:t>Verein KlimaSeniorinnen Schweiz ir kiti prieš Šveicariją</w:t>
            </w:r>
            <w:r>
              <w:rPr>
                <w:webHidden/>
              </w:rPr>
              <w:tab/>
            </w:r>
            <w:r>
              <w:rPr>
                <w:webHidden/>
              </w:rPr>
              <w:fldChar w:fldCharType="begin"/>
            </w:r>
            <w:r>
              <w:rPr>
                <w:webHidden/>
              </w:rPr>
              <w:instrText xml:space="preserve"> PAGEREF _Toc181709491 \h </w:instrText>
            </w:r>
            <w:r>
              <w:rPr>
                <w:webHidden/>
              </w:rPr>
            </w:r>
            <w:r>
              <w:rPr>
                <w:webHidden/>
              </w:rPr>
              <w:fldChar w:fldCharType="separate"/>
            </w:r>
            <w:r>
              <w:rPr>
                <w:webHidden/>
              </w:rPr>
              <w:t>15</w:t>
            </w:r>
            <w:r>
              <w:rPr>
                <w:webHidden/>
              </w:rPr>
              <w:fldChar w:fldCharType="end"/>
            </w:r>
          </w:hyperlink>
        </w:p>
        <w:p w14:paraId="56CCADDD" w14:textId="2F83D4CC" w:rsidR="00A3756E" w:rsidRDefault="00A3756E">
          <w:pPr>
            <w:pStyle w:val="Turinys3"/>
            <w:rPr>
              <w:rFonts w:eastAsiaTheme="minorEastAsia" w:cstheme="minorBidi"/>
              <w:bCs w:val="0"/>
              <w:i w:val="0"/>
              <w:iCs w:val="0"/>
              <w:kern w:val="2"/>
              <w:lang w:val="en-US"/>
              <w14:ligatures w14:val="standardContextual"/>
            </w:rPr>
          </w:pPr>
          <w:hyperlink w:anchor="_Toc181709492" w:history="1">
            <w:r w:rsidRPr="00605A75">
              <w:rPr>
                <w:rStyle w:val="Hipersaitas"/>
                <w:rFonts w:ascii="Calibri" w:hAnsi="Calibri" w:cs="Calibri"/>
              </w:rPr>
              <w:t>Dėl nepakankamo kovos su klimato kaita priemonių įgyvendinimo</w:t>
            </w:r>
            <w:r>
              <w:rPr>
                <w:webHidden/>
              </w:rPr>
              <w:tab/>
            </w:r>
            <w:r>
              <w:rPr>
                <w:webHidden/>
              </w:rPr>
              <w:fldChar w:fldCharType="begin"/>
            </w:r>
            <w:r>
              <w:rPr>
                <w:webHidden/>
              </w:rPr>
              <w:instrText xml:space="preserve"> PAGEREF _Toc181709492 \h </w:instrText>
            </w:r>
            <w:r>
              <w:rPr>
                <w:webHidden/>
              </w:rPr>
            </w:r>
            <w:r>
              <w:rPr>
                <w:webHidden/>
              </w:rPr>
              <w:fldChar w:fldCharType="separate"/>
            </w:r>
            <w:r>
              <w:rPr>
                <w:webHidden/>
              </w:rPr>
              <w:t>15</w:t>
            </w:r>
            <w:r>
              <w:rPr>
                <w:webHidden/>
              </w:rPr>
              <w:fldChar w:fldCharType="end"/>
            </w:r>
          </w:hyperlink>
        </w:p>
        <w:p w14:paraId="0536E968" w14:textId="36A03817"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493" w:history="1">
            <w:r w:rsidRPr="00605A75">
              <w:rPr>
                <w:rStyle w:val="Hipersaitas"/>
              </w:rPr>
              <w:t>Mirzoyan prieš Čekiją</w:t>
            </w:r>
            <w:r>
              <w:rPr>
                <w:webHidden/>
              </w:rPr>
              <w:tab/>
            </w:r>
            <w:r>
              <w:rPr>
                <w:webHidden/>
              </w:rPr>
              <w:fldChar w:fldCharType="begin"/>
            </w:r>
            <w:r>
              <w:rPr>
                <w:webHidden/>
              </w:rPr>
              <w:instrText xml:space="preserve"> PAGEREF _Toc181709493 \h </w:instrText>
            </w:r>
            <w:r>
              <w:rPr>
                <w:webHidden/>
              </w:rPr>
            </w:r>
            <w:r>
              <w:rPr>
                <w:webHidden/>
              </w:rPr>
              <w:fldChar w:fldCharType="separate"/>
            </w:r>
            <w:r>
              <w:rPr>
                <w:webHidden/>
              </w:rPr>
              <w:t>17</w:t>
            </w:r>
            <w:r>
              <w:rPr>
                <w:webHidden/>
              </w:rPr>
              <w:fldChar w:fldCharType="end"/>
            </w:r>
          </w:hyperlink>
        </w:p>
        <w:p w14:paraId="26A4E066" w14:textId="0604ECB3" w:rsidR="00A3756E" w:rsidRDefault="00A3756E">
          <w:pPr>
            <w:pStyle w:val="Turinys3"/>
            <w:rPr>
              <w:rFonts w:eastAsiaTheme="minorEastAsia" w:cstheme="minorBidi"/>
              <w:bCs w:val="0"/>
              <w:i w:val="0"/>
              <w:iCs w:val="0"/>
              <w:kern w:val="2"/>
              <w:lang w:val="en-US"/>
              <w14:ligatures w14:val="standardContextual"/>
            </w:rPr>
          </w:pPr>
          <w:hyperlink w:anchor="_Toc181709494" w:history="1">
            <w:r w:rsidRPr="00605A75">
              <w:rPr>
                <w:rStyle w:val="Hipersaitas"/>
                <w:rFonts w:ascii="Calibri" w:eastAsia="Times New Roman" w:hAnsi="Calibri" w:cs="Times New Roman"/>
              </w:rPr>
              <w:t>Dėl atsisakymo patenkinti grėsmę nacionaliniam saugumui ir viešajai tvarkai keliančio Rusijos piliečio prašymus pratęsti jo ilgalaikį leidimą gyventi verslo tikslais ir ilgalaikį leidimą gyventi šeimos tikslais</w:t>
            </w:r>
            <w:r>
              <w:rPr>
                <w:webHidden/>
              </w:rPr>
              <w:tab/>
            </w:r>
            <w:r>
              <w:rPr>
                <w:webHidden/>
              </w:rPr>
              <w:fldChar w:fldCharType="begin"/>
            </w:r>
            <w:r>
              <w:rPr>
                <w:webHidden/>
              </w:rPr>
              <w:instrText xml:space="preserve"> PAGEREF _Toc181709494 \h </w:instrText>
            </w:r>
            <w:r>
              <w:rPr>
                <w:webHidden/>
              </w:rPr>
            </w:r>
            <w:r>
              <w:rPr>
                <w:webHidden/>
              </w:rPr>
              <w:fldChar w:fldCharType="separate"/>
            </w:r>
            <w:r>
              <w:rPr>
                <w:webHidden/>
              </w:rPr>
              <w:t>17</w:t>
            </w:r>
            <w:r>
              <w:rPr>
                <w:webHidden/>
              </w:rPr>
              <w:fldChar w:fldCharType="end"/>
            </w:r>
          </w:hyperlink>
        </w:p>
        <w:p w14:paraId="1E416393" w14:textId="0E55B902" w:rsidR="00A3756E" w:rsidRDefault="00A3756E">
          <w:pPr>
            <w:pStyle w:val="Turinys1"/>
            <w:rPr>
              <w:rFonts w:eastAsiaTheme="minorEastAsia"/>
              <w:color w:val="auto"/>
              <w:kern w:val="2"/>
              <w:lang w:val="en-US"/>
              <w14:ligatures w14:val="standardContextual"/>
            </w:rPr>
          </w:pPr>
          <w:hyperlink w:anchor="_Toc181709495" w:history="1">
            <w:r w:rsidRPr="00605A75">
              <w:rPr>
                <w:rStyle w:val="Hipersaitas"/>
                <w:rFonts w:eastAsia="Times New Roman" w:cstheme="minorHAnsi"/>
              </w:rPr>
              <w:t>MINTIES, SĄŽINĖS IR RELIGIJOS LAISVĖ (9 straipsnis)</w:t>
            </w:r>
            <w:r>
              <w:rPr>
                <w:webHidden/>
              </w:rPr>
              <w:tab/>
            </w:r>
            <w:r>
              <w:rPr>
                <w:webHidden/>
              </w:rPr>
              <w:fldChar w:fldCharType="begin"/>
            </w:r>
            <w:r>
              <w:rPr>
                <w:webHidden/>
              </w:rPr>
              <w:instrText xml:space="preserve"> PAGEREF _Toc181709495 \h </w:instrText>
            </w:r>
            <w:r>
              <w:rPr>
                <w:webHidden/>
              </w:rPr>
            </w:r>
            <w:r>
              <w:rPr>
                <w:webHidden/>
              </w:rPr>
              <w:fldChar w:fldCharType="separate"/>
            </w:r>
            <w:r>
              <w:rPr>
                <w:webHidden/>
              </w:rPr>
              <w:t>19</w:t>
            </w:r>
            <w:r>
              <w:rPr>
                <w:webHidden/>
              </w:rPr>
              <w:fldChar w:fldCharType="end"/>
            </w:r>
          </w:hyperlink>
        </w:p>
        <w:p w14:paraId="4D95D2EC" w14:textId="25D130E1"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496" w:history="1">
            <w:r w:rsidRPr="00605A75">
              <w:rPr>
                <w:rStyle w:val="Hipersaitas"/>
              </w:rPr>
              <w:t>Kanatli prieš Turkiją</w:t>
            </w:r>
            <w:r>
              <w:rPr>
                <w:webHidden/>
              </w:rPr>
              <w:tab/>
            </w:r>
            <w:r>
              <w:rPr>
                <w:webHidden/>
              </w:rPr>
              <w:fldChar w:fldCharType="begin"/>
            </w:r>
            <w:r>
              <w:rPr>
                <w:webHidden/>
              </w:rPr>
              <w:instrText xml:space="preserve"> PAGEREF _Toc181709496 \h </w:instrText>
            </w:r>
            <w:r>
              <w:rPr>
                <w:webHidden/>
              </w:rPr>
            </w:r>
            <w:r>
              <w:rPr>
                <w:webHidden/>
              </w:rPr>
              <w:fldChar w:fldCharType="separate"/>
            </w:r>
            <w:r>
              <w:rPr>
                <w:webHidden/>
              </w:rPr>
              <w:t>19</w:t>
            </w:r>
            <w:r>
              <w:rPr>
                <w:webHidden/>
              </w:rPr>
              <w:fldChar w:fldCharType="end"/>
            </w:r>
          </w:hyperlink>
        </w:p>
        <w:p w14:paraId="07C97D62" w14:textId="5B8D8BDF" w:rsidR="00A3756E" w:rsidRDefault="00A3756E">
          <w:pPr>
            <w:pStyle w:val="Turinys3"/>
            <w:rPr>
              <w:rFonts w:eastAsiaTheme="minorEastAsia" w:cstheme="minorBidi"/>
              <w:bCs w:val="0"/>
              <w:i w:val="0"/>
              <w:iCs w:val="0"/>
              <w:kern w:val="2"/>
              <w:lang w:val="en-US"/>
              <w14:ligatures w14:val="standardContextual"/>
            </w:rPr>
          </w:pPr>
          <w:hyperlink w:anchor="_Toc181709497" w:history="1">
            <w:r w:rsidRPr="00605A75">
              <w:rPr>
                <w:rStyle w:val="Hipersaitas"/>
                <w:rFonts w:ascii="Calibri" w:eastAsia="Times New Roman" w:hAnsi="Calibri" w:cs="Times New Roman"/>
              </w:rPr>
              <w:t>Dėl pareigos nacionalinėje teisėje numatyti galimybę asmenims atlikti alternatyviąją karo tarnybą dėl sąžinės prieštaravimų</w:t>
            </w:r>
            <w:r>
              <w:rPr>
                <w:webHidden/>
              </w:rPr>
              <w:tab/>
            </w:r>
            <w:r>
              <w:rPr>
                <w:webHidden/>
              </w:rPr>
              <w:fldChar w:fldCharType="begin"/>
            </w:r>
            <w:r>
              <w:rPr>
                <w:webHidden/>
              </w:rPr>
              <w:instrText xml:space="preserve"> PAGEREF _Toc181709497 \h </w:instrText>
            </w:r>
            <w:r>
              <w:rPr>
                <w:webHidden/>
              </w:rPr>
            </w:r>
            <w:r>
              <w:rPr>
                <w:webHidden/>
              </w:rPr>
              <w:fldChar w:fldCharType="separate"/>
            </w:r>
            <w:r>
              <w:rPr>
                <w:webHidden/>
              </w:rPr>
              <w:t>19</w:t>
            </w:r>
            <w:r>
              <w:rPr>
                <w:webHidden/>
              </w:rPr>
              <w:fldChar w:fldCharType="end"/>
            </w:r>
          </w:hyperlink>
        </w:p>
        <w:p w14:paraId="57DBBD51" w14:textId="34DE850D" w:rsidR="00A3756E" w:rsidRDefault="00A3756E">
          <w:pPr>
            <w:pStyle w:val="Turinys1"/>
            <w:rPr>
              <w:rFonts w:eastAsiaTheme="minorEastAsia"/>
              <w:color w:val="auto"/>
              <w:kern w:val="2"/>
              <w:lang w:val="en-US"/>
              <w14:ligatures w14:val="standardContextual"/>
            </w:rPr>
          </w:pPr>
          <w:hyperlink w:anchor="_Toc181709498" w:history="1">
            <w:r w:rsidRPr="00605A75">
              <w:rPr>
                <w:rStyle w:val="Hipersaitas"/>
                <w:rFonts w:eastAsia="Times New Roman" w:cstheme="minorHAnsi"/>
              </w:rPr>
              <w:t>SAVIRAIŠKOS LAISVĖ (10 straipsnis)</w:t>
            </w:r>
            <w:r>
              <w:rPr>
                <w:webHidden/>
              </w:rPr>
              <w:tab/>
            </w:r>
            <w:r>
              <w:rPr>
                <w:webHidden/>
              </w:rPr>
              <w:fldChar w:fldCharType="begin"/>
            </w:r>
            <w:r>
              <w:rPr>
                <w:webHidden/>
              </w:rPr>
              <w:instrText xml:space="preserve"> PAGEREF _Toc181709498 \h </w:instrText>
            </w:r>
            <w:r>
              <w:rPr>
                <w:webHidden/>
              </w:rPr>
            </w:r>
            <w:r>
              <w:rPr>
                <w:webHidden/>
              </w:rPr>
              <w:fldChar w:fldCharType="separate"/>
            </w:r>
            <w:r>
              <w:rPr>
                <w:webHidden/>
              </w:rPr>
              <w:t>20</w:t>
            </w:r>
            <w:r>
              <w:rPr>
                <w:webHidden/>
              </w:rPr>
              <w:fldChar w:fldCharType="end"/>
            </w:r>
          </w:hyperlink>
        </w:p>
        <w:p w14:paraId="23FAA66B" w14:textId="1F44D1C1"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499" w:history="1">
            <w:r w:rsidRPr="00605A75">
              <w:rPr>
                <w:rStyle w:val="Hipersaitas"/>
              </w:rPr>
              <w:t>Kirkorov prieš Lietuvą</w:t>
            </w:r>
            <w:r>
              <w:rPr>
                <w:webHidden/>
              </w:rPr>
              <w:tab/>
            </w:r>
            <w:r>
              <w:rPr>
                <w:webHidden/>
              </w:rPr>
              <w:fldChar w:fldCharType="begin"/>
            </w:r>
            <w:r>
              <w:rPr>
                <w:webHidden/>
              </w:rPr>
              <w:instrText xml:space="preserve"> PAGEREF _Toc181709499 \h </w:instrText>
            </w:r>
            <w:r>
              <w:rPr>
                <w:webHidden/>
              </w:rPr>
            </w:r>
            <w:r>
              <w:rPr>
                <w:webHidden/>
              </w:rPr>
              <w:fldChar w:fldCharType="separate"/>
            </w:r>
            <w:r>
              <w:rPr>
                <w:webHidden/>
              </w:rPr>
              <w:t>20</w:t>
            </w:r>
            <w:r>
              <w:rPr>
                <w:webHidden/>
              </w:rPr>
              <w:fldChar w:fldCharType="end"/>
            </w:r>
          </w:hyperlink>
        </w:p>
        <w:p w14:paraId="61CF101D" w14:textId="32820776" w:rsidR="00A3756E" w:rsidRDefault="00A3756E">
          <w:pPr>
            <w:pStyle w:val="Turinys3"/>
            <w:rPr>
              <w:rFonts w:eastAsiaTheme="minorEastAsia" w:cstheme="minorBidi"/>
              <w:bCs w:val="0"/>
              <w:i w:val="0"/>
              <w:iCs w:val="0"/>
              <w:kern w:val="2"/>
              <w:lang w:val="en-US"/>
              <w14:ligatures w14:val="standardContextual"/>
            </w:rPr>
          </w:pPr>
          <w:hyperlink w:anchor="_Toc181709500" w:history="1">
            <w:r w:rsidRPr="00605A75">
              <w:rPr>
                <w:rStyle w:val="Hipersaitas"/>
                <w:rFonts w:ascii="Calibri" w:eastAsia="Times New Roman" w:hAnsi="Calibri" w:cs="Times New Roman"/>
              </w:rPr>
              <w:t>Dėl Rusijos estrados atlikėjo, kuriam uždrausta atvykti į Lietuvą dėl keliamos grėsmės nacionaliniam saugumui, saviraiškos laisvės</w:t>
            </w:r>
            <w:r>
              <w:rPr>
                <w:webHidden/>
              </w:rPr>
              <w:tab/>
            </w:r>
            <w:r>
              <w:rPr>
                <w:webHidden/>
              </w:rPr>
              <w:fldChar w:fldCharType="begin"/>
            </w:r>
            <w:r>
              <w:rPr>
                <w:webHidden/>
              </w:rPr>
              <w:instrText xml:space="preserve"> PAGEREF _Toc181709500 \h </w:instrText>
            </w:r>
            <w:r>
              <w:rPr>
                <w:webHidden/>
              </w:rPr>
            </w:r>
            <w:r>
              <w:rPr>
                <w:webHidden/>
              </w:rPr>
              <w:fldChar w:fldCharType="separate"/>
            </w:r>
            <w:r>
              <w:rPr>
                <w:webHidden/>
              </w:rPr>
              <w:t>20</w:t>
            </w:r>
            <w:r>
              <w:rPr>
                <w:webHidden/>
              </w:rPr>
              <w:fldChar w:fldCharType="end"/>
            </w:r>
          </w:hyperlink>
        </w:p>
        <w:p w14:paraId="5FAA200B" w14:textId="3EAA16C9"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501" w:history="1">
            <w:r w:rsidRPr="00605A75">
              <w:rPr>
                <w:rStyle w:val="Hipersaitas"/>
              </w:rPr>
              <w:t>Almeida Arroja prieš Portugaliją</w:t>
            </w:r>
            <w:r>
              <w:rPr>
                <w:webHidden/>
              </w:rPr>
              <w:tab/>
            </w:r>
            <w:r>
              <w:rPr>
                <w:webHidden/>
              </w:rPr>
              <w:fldChar w:fldCharType="begin"/>
            </w:r>
            <w:r>
              <w:rPr>
                <w:webHidden/>
              </w:rPr>
              <w:instrText xml:space="preserve"> PAGEREF _Toc181709501 \h </w:instrText>
            </w:r>
            <w:r>
              <w:rPr>
                <w:webHidden/>
              </w:rPr>
            </w:r>
            <w:r>
              <w:rPr>
                <w:webHidden/>
              </w:rPr>
              <w:fldChar w:fldCharType="separate"/>
            </w:r>
            <w:r>
              <w:rPr>
                <w:webHidden/>
              </w:rPr>
              <w:t>22</w:t>
            </w:r>
            <w:r>
              <w:rPr>
                <w:webHidden/>
              </w:rPr>
              <w:fldChar w:fldCharType="end"/>
            </w:r>
          </w:hyperlink>
        </w:p>
        <w:p w14:paraId="1C9C3B56" w14:textId="0B06FDA1" w:rsidR="00A3756E" w:rsidRDefault="00A3756E">
          <w:pPr>
            <w:pStyle w:val="Turinys3"/>
            <w:rPr>
              <w:rFonts w:eastAsiaTheme="minorEastAsia" w:cstheme="minorBidi"/>
              <w:bCs w:val="0"/>
              <w:i w:val="0"/>
              <w:iCs w:val="0"/>
              <w:kern w:val="2"/>
              <w:lang w:val="en-US"/>
              <w14:ligatures w14:val="standardContextual"/>
            </w:rPr>
          </w:pPr>
          <w:hyperlink w:anchor="_Toc181709502" w:history="1">
            <w:r w:rsidRPr="00605A75">
              <w:rPr>
                <w:rStyle w:val="Hipersaitas"/>
                <w:rFonts w:ascii="Calibri" w:eastAsia="Times New Roman" w:hAnsi="Calibri" w:cs="Times New Roman"/>
              </w:rPr>
              <w:t>Dėl televizinės diskusijos metu išsakytos kritikos konsultacijas teikiančiai advokatų kontorai ir jos vadovui</w:t>
            </w:r>
            <w:r>
              <w:rPr>
                <w:webHidden/>
              </w:rPr>
              <w:tab/>
            </w:r>
            <w:r>
              <w:rPr>
                <w:webHidden/>
              </w:rPr>
              <w:fldChar w:fldCharType="begin"/>
            </w:r>
            <w:r>
              <w:rPr>
                <w:webHidden/>
              </w:rPr>
              <w:instrText xml:space="preserve"> PAGEREF _Toc181709502 \h </w:instrText>
            </w:r>
            <w:r>
              <w:rPr>
                <w:webHidden/>
              </w:rPr>
            </w:r>
            <w:r>
              <w:rPr>
                <w:webHidden/>
              </w:rPr>
              <w:fldChar w:fldCharType="separate"/>
            </w:r>
            <w:r>
              <w:rPr>
                <w:webHidden/>
              </w:rPr>
              <w:t>22</w:t>
            </w:r>
            <w:r>
              <w:rPr>
                <w:webHidden/>
              </w:rPr>
              <w:fldChar w:fldCharType="end"/>
            </w:r>
          </w:hyperlink>
        </w:p>
        <w:p w14:paraId="309D16F4" w14:textId="781322D8"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503" w:history="1">
            <w:r w:rsidRPr="00605A75">
              <w:rPr>
                <w:rStyle w:val="Hipersaitas"/>
              </w:rPr>
              <w:t>Sieć Obywatelska Watchdog Polska prieš Lenkiją</w:t>
            </w:r>
            <w:r>
              <w:rPr>
                <w:webHidden/>
              </w:rPr>
              <w:tab/>
            </w:r>
            <w:r>
              <w:rPr>
                <w:webHidden/>
              </w:rPr>
              <w:fldChar w:fldCharType="begin"/>
            </w:r>
            <w:r>
              <w:rPr>
                <w:webHidden/>
              </w:rPr>
              <w:instrText xml:space="preserve"> PAGEREF _Toc181709503 \h </w:instrText>
            </w:r>
            <w:r>
              <w:rPr>
                <w:webHidden/>
              </w:rPr>
            </w:r>
            <w:r>
              <w:rPr>
                <w:webHidden/>
              </w:rPr>
              <w:fldChar w:fldCharType="separate"/>
            </w:r>
            <w:r>
              <w:rPr>
                <w:webHidden/>
              </w:rPr>
              <w:t>22</w:t>
            </w:r>
            <w:r>
              <w:rPr>
                <w:webHidden/>
              </w:rPr>
              <w:fldChar w:fldCharType="end"/>
            </w:r>
          </w:hyperlink>
        </w:p>
        <w:p w14:paraId="158657C6" w14:textId="6926EBC4" w:rsidR="00A3756E" w:rsidRDefault="00A3756E">
          <w:pPr>
            <w:pStyle w:val="Turinys3"/>
            <w:rPr>
              <w:rFonts w:eastAsiaTheme="minorEastAsia" w:cstheme="minorBidi"/>
              <w:bCs w:val="0"/>
              <w:i w:val="0"/>
              <w:iCs w:val="0"/>
              <w:kern w:val="2"/>
              <w:lang w:val="en-US"/>
              <w14:ligatures w14:val="standardContextual"/>
            </w:rPr>
          </w:pPr>
          <w:hyperlink w:anchor="_Toc181709504" w:history="1">
            <w:r w:rsidRPr="00605A75">
              <w:rPr>
                <w:rStyle w:val="Hipersaitas"/>
                <w:rFonts w:ascii="Calibri" w:hAnsi="Calibri" w:cs="Calibri"/>
              </w:rPr>
              <w:t>Dėl teisės susipažinti su teisėjų susitikimų žurnalu ir asmenų lankymosi teismo pastate įrašais</w:t>
            </w:r>
            <w:r>
              <w:rPr>
                <w:webHidden/>
              </w:rPr>
              <w:tab/>
            </w:r>
            <w:r>
              <w:rPr>
                <w:webHidden/>
              </w:rPr>
              <w:fldChar w:fldCharType="begin"/>
            </w:r>
            <w:r>
              <w:rPr>
                <w:webHidden/>
              </w:rPr>
              <w:instrText xml:space="preserve"> PAGEREF _Toc181709504 \h </w:instrText>
            </w:r>
            <w:r>
              <w:rPr>
                <w:webHidden/>
              </w:rPr>
            </w:r>
            <w:r>
              <w:rPr>
                <w:webHidden/>
              </w:rPr>
              <w:fldChar w:fldCharType="separate"/>
            </w:r>
            <w:r>
              <w:rPr>
                <w:webHidden/>
              </w:rPr>
              <w:t>23</w:t>
            </w:r>
            <w:r>
              <w:rPr>
                <w:webHidden/>
              </w:rPr>
              <w:fldChar w:fldCharType="end"/>
            </w:r>
          </w:hyperlink>
        </w:p>
        <w:p w14:paraId="5DE20532" w14:textId="3A9007D4"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505" w:history="1">
            <w:r w:rsidRPr="00605A75">
              <w:rPr>
                <w:rStyle w:val="Hipersaitas"/>
              </w:rPr>
              <w:t>Zöldi prieš Vengriją</w:t>
            </w:r>
            <w:r>
              <w:rPr>
                <w:webHidden/>
              </w:rPr>
              <w:tab/>
            </w:r>
            <w:r>
              <w:rPr>
                <w:webHidden/>
              </w:rPr>
              <w:fldChar w:fldCharType="begin"/>
            </w:r>
            <w:r>
              <w:rPr>
                <w:webHidden/>
              </w:rPr>
              <w:instrText xml:space="preserve"> PAGEREF _Toc181709505 \h </w:instrText>
            </w:r>
            <w:r>
              <w:rPr>
                <w:webHidden/>
              </w:rPr>
            </w:r>
            <w:r>
              <w:rPr>
                <w:webHidden/>
              </w:rPr>
              <w:fldChar w:fldCharType="separate"/>
            </w:r>
            <w:r>
              <w:rPr>
                <w:webHidden/>
              </w:rPr>
              <w:t>24</w:t>
            </w:r>
            <w:r>
              <w:rPr>
                <w:webHidden/>
              </w:rPr>
              <w:fldChar w:fldCharType="end"/>
            </w:r>
          </w:hyperlink>
        </w:p>
        <w:p w14:paraId="42EE26D5" w14:textId="5EE41C55" w:rsidR="00A3756E" w:rsidRDefault="00A3756E">
          <w:pPr>
            <w:pStyle w:val="Turinys3"/>
            <w:rPr>
              <w:rFonts w:eastAsiaTheme="minorEastAsia" w:cstheme="minorBidi"/>
              <w:bCs w:val="0"/>
              <w:i w:val="0"/>
              <w:iCs w:val="0"/>
              <w:kern w:val="2"/>
              <w:lang w:val="en-US"/>
              <w14:ligatures w14:val="standardContextual"/>
            </w:rPr>
          </w:pPr>
          <w:hyperlink w:anchor="_Toc181709506" w:history="1">
            <w:r w:rsidRPr="00605A75">
              <w:rPr>
                <w:rStyle w:val="Hipersaitas"/>
                <w:rFonts w:ascii="Calibri" w:hAnsi="Calibri" w:cs="Calibri"/>
              </w:rPr>
              <w:t>Dėl teisės gauti informaciją apie viešųjų lėšų gavėjų tapatybę žurnalistikos tikslais</w:t>
            </w:r>
            <w:r>
              <w:rPr>
                <w:webHidden/>
              </w:rPr>
              <w:tab/>
            </w:r>
            <w:r>
              <w:rPr>
                <w:webHidden/>
              </w:rPr>
              <w:fldChar w:fldCharType="begin"/>
            </w:r>
            <w:r>
              <w:rPr>
                <w:webHidden/>
              </w:rPr>
              <w:instrText xml:space="preserve"> PAGEREF _Toc181709506 \h </w:instrText>
            </w:r>
            <w:r>
              <w:rPr>
                <w:webHidden/>
              </w:rPr>
            </w:r>
            <w:r>
              <w:rPr>
                <w:webHidden/>
              </w:rPr>
              <w:fldChar w:fldCharType="separate"/>
            </w:r>
            <w:r>
              <w:rPr>
                <w:webHidden/>
              </w:rPr>
              <w:t>24</w:t>
            </w:r>
            <w:r>
              <w:rPr>
                <w:webHidden/>
              </w:rPr>
              <w:fldChar w:fldCharType="end"/>
            </w:r>
          </w:hyperlink>
        </w:p>
        <w:p w14:paraId="455480C9" w14:textId="242DCBE4"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507" w:history="1">
            <w:r w:rsidRPr="00605A75">
              <w:rPr>
                <w:rStyle w:val="Hipersaitas"/>
              </w:rPr>
              <w:t>Mária Somogyi prieš Vengriją</w:t>
            </w:r>
            <w:r>
              <w:rPr>
                <w:webHidden/>
              </w:rPr>
              <w:tab/>
            </w:r>
            <w:r>
              <w:rPr>
                <w:webHidden/>
              </w:rPr>
              <w:fldChar w:fldCharType="begin"/>
            </w:r>
            <w:r>
              <w:rPr>
                <w:webHidden/>
              </w:rPr>
              <w:instrText xml:space="preserve"> PAGEREF _Toc181709507 \h </w:instrText>
            </w:r>
            <w:r>
              <w:rPr>
                <w:webHidden/>
              </w:rPr>
            </w:r>
            <w:r>
              <w:rPr>
                <w:webHidden/>
              </w:rPr>
              <w:fldChar w:fldCharType="separate"/>
            </w:r>
            <w:r>
              <w:rPr>
                <w:webHidden/>
              </w:rPr>
              <w:t>25</w:t>
            </w:r>
            <w:r>
              <w:rPr>
                <w:webHidden/>
              </w:rPr>
              <w:fldChar w:fldCharType="end"/>
            </w:r>
          </w:hyperlink>
        </w:p>
        <w:p w14:paraId="55DD7CD4" w14:textId="4C2FC6BE" w:rsidR="00A3756E" w:rsidRDefault="00A3756E">
          <w:pPr>
            <w:pStyle w:val="Turinys3"/>
            <w:rPr>
              <w:rFonts w:eastAsiaTheme="minorEastAsia" w:cstheme="minorBidi"/>
              <w:bCs w:val="0"/>
              <w:i w:val="0"/>
              <w:iCs w:val="0"/>
              <w:kern w:val="2"/>
              <w:lang w:val="en-US"/>
              <w14:ligatures w14:val="standardContextual"/>
            </w:rPr>
          </w:pPr>
          <w:hyperlink w:anchor="_Toc181709508" w:history="1">
            <w:r w:rsidRPr="00605A75">
              <w:rPr>
                <w:rStyle w:val="Hipersaitas"/>
                <w:rFonts w:ascii="Calibri" w:eastAsia="Times New Roman" w:hAnsi="Calibri" w:cs="Times New Roman"/>
              </w:rPr>
              <w:t>Dėl savivaldybės reputacijos gynimo civiline tvarka, pasidalinus jos veiksmų kritika socialiniame tinkle Facebook</w:t>
            </w:r>
            <w:r>
              <w:rPr>
                <w:webHidden/>
              </w:rPr>
              <w:tab/>
            </w:r>
            <w:r>
              <w:rPr>
                <w:webHidden/>
              </w:rPr>
              <w:fldChar w:fldCharType="begin"/>
            </w:r>
            <w:r>
              <w:rPr>
                <w:webHidden/>
              </w:rPr>
              <w:instrText xml:space="preserve"> PAGEREF _Toc181709508 \h </w:instrText>
            </w:r>
            <w:r>
              <w:rPr>
                <w:webHidden/>
              </w:rPr>
            </w:r>
            <w:r>
              <w:rPr>
                <w:webHidden/>
              </w:rPr>
              <w:fldChar w:fldCharType="separate"/>
            </w:r>
            <w:r>
              <w:rPr>
                <w:webHidden/>
              </w:rPr>
              <w:t>25</w:t>
            </w:r>
            <w:r>
              <w:rPr>
                <w:webHidden/>
              </w:rPr>
              <w:fldChar w:fldCharType="end"/>
            </w:r>
          </w:hyperlink>
        </w:p>
        <w:p w14:paraId="2D0ABABE" w14:textId="05C50E68"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509" w:history="1">
            <w:r w:rsidRPr="00605A75">
              <w:rPr>
                <w:rStyle w:val="Hipersaitas"/>
              </w:rPr>
              <w:t>Suprun prieš Rusiją</w:t>
            </w:r>
            <w:r>
              <w:rPr>
                <w:webHidden/>
              </w:rPr>
              <w:tab/>
            </w:r>
            <w:r>
              <w:rPr>
                <w:webHidden/>
              </w:rPr>
              <w:fldChar w:fldCharType="begin"/>
            </w:r>
            <w:r>
              <w:rPr>
                <w:webHidden/>
              </w:rPr>
              <w:instrText xml:space="preserve"> PAGEREF _Toc181709509 \h </w:instrText>
            </w:r>
            <w:r>
              <w:rPr>
                <w:webHidden/>
              </w:rPr>
            </w:r>
            <w:r>
              <w:rPr>
                <w:webHidden/>
              </w:rPr>
              <w:fldChar w:fldCharType="separate"/>
            </w:r>
            <w:r>
              <w:rPr>
                <w:webHidden/>
              </w:rPr>
              <w:t>26</w:t>
            </w:r>
            <w:r>
              <w:rPr>
                <w:webHidden/>
              </w:rPr>
              <w:fldChar w:fldCharType="end"/>
            </w:r>
          </w:hyperlink>
        </w:p>
        <w:p w14:paraId="0FAAC9D1" w14:textId="2530E588" w:rsidR="00A3756E" w:rsidRDefault="00A3756E">
          <w:pPr>
            <w:pStyle w:val="Turinys3"/>
            <w:rPr>
              <w:rFonts w:eastAsiaTheme="minorEastAsia" w:cstheme="minorBidi"/>
              <w:bCs w:val="0"/>
              <w:i w:val="0"/>
              <w:iCs w:val="0"/>
              <w:kern w:val="2"/>
              <w:lang w:val="en-US"/>
              <w14:ligatures w14:val="standardContextual"/>
            </w:rPr>
          </w:pPr>
          <w:hyperlink w:anchor="_Toc181709510" w:history="1">
            <w:r w:rsidRPr="00605A75">
              <w:rPr>
                <w:rStyle w:val="Hipersaitas"/>
                <w:rFonts w:ascii="Calibri" w:hAnsi="Calibri" w:cs="Calibri"/>
              </w:rPr>
              <w:t>Dėl teisės susipažinti su archyvine informacija apie sovietų represijas ir daryti tokių dokumentų kopijas</w:t>
            </w:r>
            <w:r>
              <w:rPr>
                <w:webHidden/>
              </w:rPr>
              <w:tab/>
            </w:r>
            <w:r>
              <w:rPr>
                <w:webHidden/>
              </w:rPr>
              <w:fldChar w:fldCharType="begin"/>
            </w:r>
            <w:r>
              <w:rPr>
                <w:webHidden/>
              </w:rPr>
              <w:instrText xml:space="preserve"> PAGEREF _Toc181709510 \h </w:instrText>
            </w:r>
            <w:r>
              <w:rPr>
                <w:webHidden/>
              </w:rPr>
            </w:r>
            <w:r>
              <w:rPr>
                <w:webHidden/>
              </w:rPr>
              <w:fldChar w:fldCharType="separate"/>
            </w:r>
            <w:r>
              <w:rPr>
                <w:webHidden/>
              </w:rPr>
              <w:t>26</w:t>
            </w:r>
            <w:r>
              <w:rPr>
                <w:webHidden/>
              </w:rPr>
              <w:fldChar w:fldCharType="end"/>
            </w:r>
          </w:hyperlink>
        </w:p>
        <w:p w14:paraId="260D12A5" w14:textId="13BDA381"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511" w:history="1">
            <w:r w:rsidRPr="00605A75">
              <w:rPr>
                <w:rStyle w:val="Hipersaitas"/>
              </w:rPr>
              <w:t>Affaire Conseil national de la jeunesse de Moldova prieš Moldovos Respubliką</w:t>
            </w:r>
            <w:r>
              <w:rPr>
                <w:webHidden/>
              </w:rPr>
              <w:tab/>
            </w:r>
            <w:r>
              <w:rPr>
                <w:webHidden/>
              </w:rPr>
              <w:fldChar w:fldCharType="begin"/>
            </w:r>
            <w:r>
              <w:rPr>
                <w:webHidden/>
              </w:rPr>
              <w:instrText xml:space="preserve"> PAGEREF _Toc181709511 \h </w:instrText>
            </w:r>
            <w:r>
              <w:rPr>
                <w:webHidden/>
              </w:rPr>
            </w:r>
            <w:r>
              <w:rPr>
                <w:webHidden/>
              </w:rPr>
              <w:fldChar w:fldCharType="separate"/>
            </w:r>
            <w:r>
              <w:rPr>
                <w:webHidden/>
              </w:rPr>
              <w:t>27</w:t>
            </w:r>
            <w:r>
              <w:rPr>
                <w:webHidden/>
              </w:rPr>
              <w:fldChar w:fldCharType="end"/>
            </w:r>
          </w:hyperlink>
        </w:p>
        <w:p w14:paraId="5E9114DD" w14:textId="7B02AD27" w:rsidR="00A3756E" w:rsidRDefault="00A3756E">
          <w:pPr>
            <w:pStyle w:val="Turinys3"/>
            <w:rPr>
              <w:rFonts w:eastAsiaTheme="minorEastAsia" w:cstheme="minorBidi"/>
              <w:bCs w:val="0"/>
              <w:i w:val="0"/>
              <w:iCs w:val="0"/>
              <w:kern w:val="2"/>
              <w:lang w:val="en-US"/>
              <w14:ligatures w14:val="standardContextual"/>
            </w:rPr>
          </w:pPr>
          <w:hyperlink w:anchor="_Toc181709512" w:history="1">
            <w:r w:rsidRPr="00605A75">
              <w:rPr>
                <w:rStyle w:val="Hipersaitas"/>
                <w:rFonts w:ascii="Calibri" w:eastAsia="Times New Roman" w:hAnsi="Calibri" w:cs="Times New Roman"/>
              </w:rPr>
              <w:t>Dėl pareigos atsižvelgti į kitų asmenų teisę į pagarbą sprendžiant dėl pagalbos telefono linijos reklaminio plakato publikavimo miesto stenduose</w:t>
            </w:r>
            <w:r>
              <w:rPr>
                <w:webHidden/>
              </w:rPr>
              <w:tab/>
            </w:r>
            <w:r>
              <w:rPr>
                <w:webHidden/>
              </w:rPr>
              <w:fldChar w:fldCharType="begin"/>
            </w:r>
            <w:r>
              <w:rPr>
                <w:webHidden/>
              </w:rPr>
              <w:instrText xml:space="preserve"> PAGEREF _Toc181709512 \h </w:instrText>
            </w:r>
            <w:r>
              <w:rPr>
                <w:webHidden/>
              </w:rPr>
            </w:r>
            <w:r>
              <w:rPr>
                <w:webHidden/>
              </w:rPr>
              <w:fldChar w:fldCharType="separate"/>
            </w:r>
            <w:r>
              <w:rPr>
                <w:webHidden/>
              </w:rPr>
              <w:t>27</w:t>
            </w:r>
            <w:r>
              <w:rPr>
                <w:webHidden/>
              </w:rPr>
              <w:fldChar w:fldCharType="end"/>
            </w:r>
          </w:hyperlink>
        </w:p>
        <w:p w14:paraId="7EDA42B7" w14:textId="0818FEE0" w:rsidR="00A3756E" w:rsidRDefault="00A3756E">
          <w:pPr>
            <w:pStyle w:val="Turinys1"/>
            <w:rPr>
              <w:rFonts w:eastAsiaTheme="minorEastAsia"/>
              <w:color w:val="auto"/>
              <w:kern w:val="2"/>
              <w:lang w:val="en-US"/>
              <w14:ligatures w14:val="standardContextual"/>
            </w:rPr>
          </w:pPr>
          <w:hyperlink w:anchor="_Toc181709513" w:history="1">
            <w:r w:rsidRPr="00605A75">
              <w:rPr>
                <w:rStyle w:val="Hipersaitas"/>
                <w:rFonts w:eastAsia="Times New Roman" w:cstheme="minorHAnsi"/>
              </w:rPr>
              <w:t>NUOSAVYBĖS APSAUGA (Protokolo Nr. 1 1 straipsnis)</w:t>
            </w:r>
            <w:r>
              <w:rPr>
                <w:webHidden/>
              </w:rPr>
              <w:tab/>
            </w:r>
            <w:r>
              <w:rPr>
                <w:webHidden/>
              </w:rPr>
              <w:fldChar w:fldCharType="begin"/>
            </w:r>
            <w:r>
              <w:rPr>
                <w:webHidden/>
              </w:rPr>
              <w:instrText xml:space="preserve"> PAGEREF _Toc181709513 \h </w:instrText>
            </w:r>
            <w:r>
              <w:rPr>
                <w:webHidden/>
              </w:rPr>
            </w:r>
            <w:r>
              <w:rPr>
                <w:webHidden/>
              </w:rPr>
              <w:fldChar w:fldCharType="separate"/>
            </w:r>
            <w:r>
              <w:rPr>
                <w:webHidden/>
              </w:rPr>
              <w:t>28</w:t>
            </w:r>
            <w:r>
              <w:rPr>
                <w:webHidden/>
              </w:rPr>
              <w:fldChar w:fldCharType="end"/>
            </w:r>
          </w:hyperlink>
        </w:p>
        <w:p w14:paraId="163E5DEB" w14:textId="386BF163"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514" w:history="1">
            <w:r w:rsidRPr="00605A75">
              <w:rPr>
                <w:rStyle w:val="Hipersaitas"/>
              </w:rPr>
              <w:t>Atasagün prieš Turkiją</w:t>
            </w:r>
            <w:r>
              <w:rPr>
                <w:webHidden/>
              </w:rPr>
              <w:tab/>
            </w:r>
            <w:r>
              <w:rPr>
                <w:webHidden/>
              </w:rPr>
              <w:fldChar w:fldCharType="begin"/>
            </w:r>
            <w:r>
              <w:rPr>
                <w:webHidden/>
              </w:rPr>
              <w:instrText xml:space="preserve"> PAGEREF _Toc181709514 \h </w:instrText>
            </w:r>
            <w:r>
              <w:rPr>
                <w:webHidden/>
              </w:rPr>
            </w:r>
            <w:r>
              <w:rPr>
                <w:webHidden/>
              </w:rPr>
              <w:fldChar w:fldCharType="separate"/>
            </w:r>
            <w:r>
              <w:rPr>
                <w:webHidden/>
              </w:rPr>
              <w:t>28</w:t>
            </w:r>
            <w:r>
              <w:rPr>
                <w:webHidden/>
              </w:rPr>
              <w:fldChar w:fldCharType="end"/>
            </w:r>
          </w:hyperlink>
        </w:p>
        <w:p w14:paraId="71A5C886" w14:textId="1C459E4A" w:rsidR="00A3756E" w:rsidRDefault="00A3756E">
          <w:pPr>
            <w:pStyle w:val="Turinys3"/>
            <w:rPr>
              <w:rFonts w:eastAsiaTheme="minorEastAsia" w:cstheme="minorBidi"/>
              <w:bCs w:val="0"/>
              <w:i w:val="0"/>
              <w:iCs w:val="0"/>
              <w:kern w:val="2"/>
              <w:lang w:val="en-US"/>
              <w14:ligatures w14:val="standardContextual"/>
            </w:rPr>
          </w:pPr>
          <w:hyperlink w:anchor="_Toc181709515" w:history="1">
            <w:r w:rsidRPr="00605A75">
              <w:rPr>
                <w:rStyle w:val="Hipersaitas"/>
                <w:rFonts w:ascii="Calibri" w:eastAsia="Times New Roman" w:hAnsi="Calibri" w:cs="Times New Roman"/>
              </w:rPr>
              <w:t>Dėl valstybės atsakomybės apimties užtikrinant nuosavybės apsaugą stichinių nelaimių atveju</w:t>
            </w:r>
            <w:r>
              <w:rPr>
                <w:webHidden/>
              </w:rPr>
              <w:tab/>
            </w:r>
            <w:r>
              <w:rPr>
                <w:webHidden/>
              </w:rPr>
              <w:fldChar w:fldCharType="begin"/>
            </w:r>
            <w:r>
              <w:rPr>
                <w:webHidden/>
              </w:rPr>
              <w:instrText xml:space="preserve"> PAGEREF _Toc181709515 \h </w:instrText>
            </w:r>
            <w:r>
              <w:rPr>
                <w:webHidden/>
              </w:rPr>
            </w:r>
            <w:r>
              <w:rPr>
                <w:webHidden/>
              </w:rPr>
              <w:fldChar w:fldCharType="separate"/>
            </w:r>
            <w:r>
              <w:rPr>
                <w:webHidden/>
              </w:rPr>
              <w:t>28</w:t>
            </w:r>
            <w:r>
              <w:rPr>
                <w:webHidden/>
              </w:rPr>
              <w:fldChar w:fldCharType="end"/>
            </w:r>
          </w:hyperlink>
        </w:p>
        <w:p w14:paraId="000AB9D0" w14:textId="5BAA506F"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516" w:history="1">
            <w:r w:rsidRPr="00605A75">
              <w:rPr>
                <w:rStyle w:val="Hipersaitas"/>
              </w:rPr>
              <w:t>Bernotas prieš Lietuvą</w:t>
            </w:r>
            <w:r>
              <w:rPr>
                <w:webHidden/>
              </w:rPr>
              <w:tab/>
            </w:r>
            <w:r>
              <w:rPr>
                <w:webHidden/>
              </w:rPr>
              <w:fldChar w:fldCharType="begin"/>
            </w:r>
            <w:r>
              <w:rPr>
                <w:webHidden/>
              </w:rPr>
              <w:instrText xml:space="preserve"> PAGEREF _Toc181709516 \h </w:instrText>
            </w:r>
            <w:r>
              <w:rPr>
                <w:webHidden/>
              </w:rPr>
            </w:r>
            <w:r>
              <w:rPr>
                <w:webHidden/>
              </w:rPr>
              <w:fldChar w:fldCharType="separate"/>
            </w:r>
            <w:r>
              <w:rPr>
                <w:webHidden/>
              </w:rPr>
              <w:t>30</w:t>
            </w:r>
            <w:r>
              <w:rPr>
                <w:webHidden/>
              </w:rPr>
              <w:fldChar w:fldCharType="end"/>
            </w:r>
          </w:hyperlink>
        </w:p>
        <w:p w14:paraId="3687213A" w14:textId="5D91ED43" w:rsidR="00A3756E" w:rsidRDefault="00A3756E">
          <w:pPr>
            <w:pStyle w:val="Turinys3"/>
            <w:rPr>
              <w:rFonts w:eastAsiaTheme="minorEastAsia" w:cstheme="minorBidi"/>
              <w:bCs w:val="0"/>
              <w:i w:val="0"/>
              <w:iCs w:val="0"/>
              <w:kern w:val="2"/>
              <w:lang w:val="en-US"/>
              <w14:ligatures w14:val="standardContextual"/>
            </w:rPr>
          </w:pPr>
          <w:hyperlink w:anchor="_Toc181709517" w:history="1">
            <w:r w:rsidRPr="00605A75">
              <w:rPr>
                <w:rStyle w:val="Hipersaitas"/>
                <w:rFonts w:ascii="Calibri" w:eastAsia="Times New Roman" w:hAnsi="Calibri" w:cs="Times New Roman"/>
              </w:rPr>
              <w:t>Dėl pareigos kompensuoti socialinio draudimo įstaigai netekto darbingumo pensiją, išmokėtą asmeniui, kurį pareiškėjas netyčia sužalojo</w:t>
            </w:r>
            <w:r>
              <w:rPr>
                <w:webHidden/>
              </w:rPr>
              <w:tab/>
            </w:r>
            <w:r>
              <w:rPr>
                <w:webHidden/>
              </w:rPr>
              <w:fldChar w:fldCharType="begin"/>
            </w:r>
            <w:r>
              <w:rPr>
                <w:webHidden/>
              </w:rPr>
              <w:instrText xml:space="preserve"> PAGEREF _Toc181709517 \h </w:instrText>
            </w:r>
            <w:r>
              <w:rPr>
                <w:webHidden/>
              </w:rPr>
            </w:r>
            <w:r>
              <w:rPr>
                <w:webHidden/>
              </w:rPr>
              <w:fldChar w:fldCharType="separate"/>
            </w:r>
            <w:r>
              <w:rPr>
                <w:webHidden/>
              </w:rPr>
              <w:t>30</w:t>
            </w:r>
            <w:r>
              <w:rPr>
                <w:webHidden/>
              </w:rPr>
              <w:fldChar w:fldCharType="end"/>
            </w:r>
          </w:hyperlink>
        </w:p>
        <w:p w14:paraId="79127E8B" w14:textId="25ECFDFC" w:rsidR="00A3756E" w:rsidRDefault="00A3756E">
          <w:pPr>
            <w:pStyle w:val="Turinys1"/>
            <w:rPr>
              <w:rFonts w:eastAsiaTheme="minorEastAsia"/>
              <w:color w:val="auto"/>
              <w:kern w:val="2"/>
              <w:lang w:val="en-US"/>
              <w14:ligatures w14:val="standardContextual"/>
            </w:rPr>
          </w:pPr>
          <w:hyperlink w:anchor="_Toc181709518" w:history="1">
            <w:r w:rsidRPr="00605A75">
              <w:rPr>
                <w:rStyle w:val="Hipersaitas"/>
                <w:rFonts w:eastAsia="Times New Roman" w:cstheme="minorHAnsi"/>
              </w:rPr>
              <w:t>TEISĖ Į LAISVUS RINKIMUS (Protokolo Nr. 1 3 straipsnis)</w:t>
            </w:r>
            <w:r>
              <w:rPr>
                <w:webHidden/>
              </w:rPr>
              <w:tab/>
            </w:r>
            <w:r>
              <w:rPr>
                <w:webHidden/>
              </w:rPr>
              <w:fldChar w:fldCharType="begin"/>
            </w:r>
            <w:r>
              <w:rPr>
                <w:webHidden/>
              </w:rPr>
              <w:instrText xml:space="preserve"> PAGEREF _Toc181709518 \h </w:instrText>
            </w:r>
            <w:r>
              <w:rPr>
                <w:webHidden/>
              </w:rPr>
            </w:r>
            <w:r>
              <w:rPr>
                <w:webHidden/>
              </w:rPr>
              <w:fldChar w:fldCharType="separate"/>
            </w:r>
            <w:r>
              <w:rPr>
                <w:webHidden/>
              </w:rPr>
              <w:t>32</w:t>
            </w:r>
            <w:r>
              <w:rPr>
                <w:webHidden/>
              </w:rPr>
              <w:fldChar w:fldCharType="end"/>
            </w:r>
          </w:hyperlink>
        </w:p>
        <w:p w14:paraId="558D851E" w14:textId="1C4CF479"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519" w:history="1">
            <w:r w:rsidRPr="00605A75">
              <w:rPr>
                <w:rStyle w:val="Hipersaitas"/>
              </w:rPr>
              <w:t>Guðmundur Gunnarsson and Magnús Davíð Norðdahl prieš Islandiją</w:t>
            </w:r>
            <w:r>
              <w:rPr>
                <w:webHidden/>
              </w:rPr>
              <w:tab/>
            </w:r>
            <w:r>
              <w:rPr>
                <w:webHidden/>
              </w:rPr>
              <w:fldChar w:fldCharType="begin"/>
            </w:r>
            <w:r>
              <w:rPr>
                <w:webHidden/>
              </w:rPr>
              <w:instrText xml:space="preserve"> PAGEREF _Toc181709519 \h </w:instrText>
            </w:r>
            <w:r>
              <w:rPr>
                <w:webHidden/>
              </w:rPr>
            </w:r>
            <w:r>
              <w:rPr>
                <w:webHidden/>
              </w:rPr>
              <w:fldChar w:fldCharType="separate"/>
            </w:r>
            <w:r>
              <w:rPr>
                <w:webHidden/>
              </w:rPr>
              <w:t>32</w:t>
            </w:r>
            <w:r>
              <w:rPr>
                <w:webHidden/>
              </w:rPr>
              <w:fldChar w:fldCharType="end"/>
            </w:r>
          </w:hyperlink>
        </w:p>
        <w:p w14:paraId="3138BC05" w14:textId="4A9C7D3F" w:rsidR="00A3756E" w:rsidRDefault="00A3756E">
          <w:pPr>
            <w:pStyle w:val="Turinys3"/>
            <w:rPr>
              <w:rFonts w:eastAsiaTheme="minorEastAsia" w:cstheme="minorBidi"/>
              <w:bCs w:val="0"/>
              <w:i w:val="0"/>
              <w:iCs w:val="0"/>
              <w:kern w:val="2"/>
              <w:lang w:val="en-US"/>
              <w14:ligatures w14:val="standardContextual"/>
            </w:rPr>
          </w:pPr>
          <w:hyperlink w:anchor="_Toc181709520" w:history="1">
            <w:r w:rsidRPr="00605A75">
              <w:rPr>
                <w:rStyle w:val="Hipersaitas"/>
                <w:rFonts w:ascii="Calibri" w:eastAsia="Times New Roman" w:hAnsi="Calibri" w:cs="Times New Roman"/>
              </w:rPr>
              <w:t>Dėl parlamento rinkimų rezultatų patvirtinimo, neužtikrinus nešališko ir veiksmingo skundų nagrinėjimo dėl rinkimų rezultatų vienoje rinkimų apygardoje</w:t>
            </w:r>
            <w:r>
              <w:rPr>
                <w:webHidden/>
              </w:rPr>
              <w:tab/>
            </w:r>
            <w:r>
              <w:rPr>
                <w:webHidden/>
              </w:rPr>
              <w:fldChar w:fldCharType="begin"/>
            </w:r>
            <w:r>
              <w:rPr>
                <w:webHidden/>
              </w:rPr>
              <w:instrText xml:space="preserve"> PAGEREF _Toc181709520 \h </w:instrText>
            </w:r>
            <w:r>
              <w:rPr>
                <w:webHidden/>
              </w:rPr>
            </w:r>
            <w:r>
              <w:rPr>
                <w:webHidden/>
              </w:rPr>
              <w:fldChar w:fldCharType="separate"/>
            </w:r>
            <w:r>
              <w:rPr>
                <w:webHidden/>
              </w:rPr>
              <w:t>32</w:t>
            </w:r>
            <w:r>
              <w:rPr>
                <w:webHidden/>
              </w:rPr>
              <w:fldChar w:fldCharType="end"/>
            </w:r>
          </w:hyperlink>
        </w:p>
        <w:p w14:paraId="6891E9C6" w14:textId="749F190A" w:rsidR="00A3756E" w:rsidRDefault="00A3756E">
          <w:pPr>
            <w:pStyle w:val="Turinys2"/>
            <w:rPr>
              <w:rFonts w:asciiTheme="minorHAnsi" w:eastAsiaTheme="minorEastAsia" w:hAnsiTheme="minorHAnsi" w:cstheme="minorBidi"/>
              <w:b w:val="0"/>
              <w:bCs w:val="0"/>
              <w:i w:val="0"/>
              <w:iCs w:val="0"/>
              <w:kern w:val="2"/>
              <w:lang w:val="en-US"/>
              <w14:ligatures w14:val="standardContextual"/>
            </w:rPr>
          </w:pPr>
          <w:hyperlink w:anchor="_Toc181709521" w:history="1">
            <w:r w:rsidRPr="00605A75">
              <w:rPr>
                <w:rStyle w:val="Hipersaitas"/>
              </w:rPr>
              <w:t>Kokëdhima prieš Albaniją</w:t>
            </w:r>
            <w:r>
              <w:rPr>
                <w:webHidden/>
              </w:rPr>
              <w:tab/>
            </w:r>
            <w:r>
              <w:rPr>
                <w:webHidden/>
              </w:rPr>
              <w:fldChar w:fldCharType="begin"/>
            </w:r>
            <w:r>
              <w:rPr>
                <w:webHidden/>
              </w:rPr>
              <w:instrText xml:space="preserve"> PAGEREF _Toc181709521 \h </w:instrText>
            </w:r>
            <w:r>
              <w:rPr>
                <w:webHidden/>
              </w:rPr>
            </w:r>
            <w:r>
              <w:rPr>
                <w:webHidden/>
              </w:rPr>
              <w:fldChar w:fldCharType="separate"/>
            </w:r>
            <w:r>
              <w:rPr>
                <w:webHidden/>
              </w:rPr>
              <w:t>34</w:t>
            </w:r>
            <w:r>
              <w:rPr>
                <w:webHidden/>
              </w:rPr>
              <w:fldChar w:fldCharType="end"/>
            </w:r>
          </w:hyperlink>
        </w:p>
        <w:p w14:paraId="40C24897" w14:textId="0D5AC2E8" w:rsidR="00A3756E" w:rsidRDefault="00A3756E">
          <w:pPr>
            <w:pStyle w:val="Turinys3"/>
            <w:rPr>
              <w:rFonts w:eastAsiaTheme="minorEastAsia" w:cstheme="minorBidi"/>
              <w:bCs w:val="0"/>
              <w:i w:val="0"/>
              <w:iCs w:val="0"/>
              <w:kern w:val="2"/>
              <w:lang w:val="en-US"/>
              <w14:ligatures w14:val="standardContextual"/>
            </w:rPr>
          </w:pPr>
          <w:hyperlink w:anchor="_Toc181709522" w:history="1">
            <w:r w:rsidRPr="00605A75">
              <w:rPr>
                <w:rStyle w:val="Hipersaitas"/>
                <w:rFonts w:ascii="Calibri" w:eastAsia="Times New Roman" w:hAnsi="Calibri" w:cs="Times New Roman"/>
              </w:rPr>
              <w:t>Dėl parlamentaro mandato panaikinimo, nustačius, kad jis nesilaikė pareigos vengti interesų konflikto, užsiimdamas verslu, generuojančiu pelną iš valstybės lėšų</w:t>
            </w:r>
            <w:r>
              <w:rPr>
                <w:webHidden/>
              </w:rPr>
              <w:tab/>
            </w:r>
            <w:r>
              <w:rPr>
                <w:webHidden/>
              </w:rPr>
              <w:fldChar w:fldCharType="begin"/>
            </w:r>
            <w:r>
              <w:rPr>
                <w:webHidden/>
              </w:rPr>
              <w:instrText xml:space="preserve"> PAGEREF _Toc181709522 \h </w:instrText>
            </w:r>
            <w:r>
              <w:rPr>
                <w:webHidden/>
              </w:rPr>
            </w:r>
            <w:r>
              <w:rPr>
                <w:webHidden/>
              </w:rPr>
              <w:fldChar w:fldCharType="separate"/>
            </w:r>
            <w:r>
              <w:rPr>
                <w:webHidden/>
              </w:rPr>
              <w:t>34</w:t>
            </w:r>
            <w:r>
              <w:rPr>
                <w:webHidden/>
              </w:rPr>
              <w:fldChar w:fldCharType="end"/>
            </w:r>
          </w:hyperlink>
        </w:p>
        <w:p w14:paraId="12402FB9" w14:textId="7867A5C3" w:rsidR="00837CD5" w:rsidRPr="00C170C3" w:rsidRDefault="00837CD5" w:rsidP="00837CD5">
          <w:pPr>
            <w:ind w:right="-1"/>
          </w:pPr>
          <w:r w:rsidRPr="00C170C3">
            <w:fldChar w:fldCharType="end"/>
          </w:r>
        </w:p>
      </w:sdtContent>
    </w:sdt>
    <w:p w14:paraId="437378A4" w14:textId="77777777" w:rsidR="00837CD5" w:rsidRPr="00C170C3" w:rsidRDefault="00837CD5" w:rsidP="00837CD5">
      <w:pPr>
        <w:spacing w:after="0" w:line="240" w:lineRule="auto"/>
        <w:ind w:right="-1"/>
        <w:jc w:val="both"/>
        <w:rPr>
          <w:rFonts w:cstheme="minorHAnsi"/>
        </w:rPr>
      </w:pPr>
    </w:p>
    <w:p w14:paraId="3FE7FA67" w14:textId="77777777" w:rsidR="00837CD5" w:rsidRPr="00C170C3" w:rsidRDefault="00837CD5" w:rsidP="00837CD5">
      <w:pPr>
        <w:spacing w:after="0" w:line="240" w:lineRule="auto"/>
        <w:ind w:right="-1"/>
        <w:jc w:val="both"/>
        <w:rPr>
          <w:rFonts w:eastAsia="Calibri" w:cstheme="minorHAnsi"/>
          <w:b/>
          <w:highlight w:val="yellow"/>
        </w:rPr>
      </w:pPr>
      <w:r w:rsidRPr="00C170C3">
        <w:rPr>
          <w:rFonts w:eastAsia="Calibri" w:cstheme="minorHAnsi"/>
          <w:b/>
          <w:highlight w:val="yellow"/>
        </w:rPr>
        <w:br w:type="page"/>
      </w:r>
    </w:p>
    <w:p w14:paraId="417E1E8E" w14:textId="77777777" w:rsidR="00837CD5" w:rsidRPr="00C170C3" w:rsidRDefault="00837CD5" w:rsidP="00837CD5">
      <w:pPr>
        <w:pStyle w:val="Antrat1"/>
        <w:spacing w:before="0"/>
        <w:ind w:right="-1"/>
        <w:rPr>
          <w:rFonts w:eastAsia="Times New Roman"/>
        </w:rPr>
      </w:pPr>
      <w:bookmarkStart w:id="0" w:name="_Toc181709476"/>
      <w:bookmarkStart w:id="1" w:name="_Toc19877693"/>
      <w:bookmarkStart w:id="2" w:name="_Toc104379828"/>
      <w:r w:rsidRPr="00C170C3">
        <w:rPr>
          <w:rFonts w:eastAsia="Times New Roman"/>
        </w:rPr>
        <w:lastRenderedPageBreak/>
        <w:t>KANKINIMO UŽDRAUDIMAS (3 straipsnis)</w:t>
      </w:r>
      <w:bookmarkEnd w:id="0"/>
    </w:p>
    <w:p w14:paraId="1E66FEF6" w14:textId="77777777" w:rsidR="00837CD5" w:rsidRDefault="00837CD5" w:rsidP="00380387">
      <w:pPr>
        <w:spacing w:after="0" w:line="240" w:lineRule="auto"/>
        <w:jc w:val="center"/>
        <w:rPr>
          <w:rFonts w:cs="Arial"/>
          <w:b/>
        </w:rPr>
      </w:pPr>
    </w:p>
    <w:p w14:paraId="4EF64CC9" w14:textId="77777777" w:rsidR="00380387" w:rsidRDefault="00380387" w:rsidP="00380387">
      <w:pPr>
        <w:pBdr>
          <w:top w:val="nil"/>
          <w:left w:val="nil"/>
          <w:bottom w:val="nil"/>
          <w:right w:val="nil"/>
          <w:between w:val="nil"/>
        </w:pBdr>
        <w:tabs>
          <w:tab w:val="left" w:pos="851"/>
        </w:tabs>
        <w:spacing w:after="0" w:line="240" w:lineRule="auto"/>
        <w:ind w:right="-1"/>
        <w:jc w:val="center"/>
        <w:rPr>
          <w:b/>
          <w:bCs/>
        </w:rPr>
      </w:pPr>
      <w:r w:rsidRPr="00E961C8">
        <w:rPr>
          <w:b/>
          <w:bCs/>
        </w:rPr>
        <w:t>Europos Žmogaus Teisių Teismo 202</w:t>
      </w:r>
      <w:r>
        <w:rPr>
          <w:b/>
          <w:bCs/>
        </w:rPr>
        <w:t>4</w:t>
      </w:r>
      <w:r w:rsidRPr="00E961C8">
        <w:rPr>
          <w:b/>
          <w:bCs/>
        </w:rPr>
        <w:t xml:space="preserve"> m.</w:t>
      </w:r>
      <w:r>
        <w:rPr>
          <w:b/>
          <w:bCs/>
        </w:rPr>
        <w:t xml:space="preserve"> balandžio 4 </w:t>
      </w:r>
      <w:r w:rsidRPr="00E961C8">
        <w:rPr>
          <w:b/>
          <w:bCs/>
        </w:rPr>
        <w:t xml:space="preserve">d. sprendimas byloje </w:t>
      </w:r>
    </w:p>
    <w:p w14:paraId="59EC94C8" w14:textId="77777777" w:rsidR="00380387" w:rsidRPr="00380387" w:rsidRDefault="00380387" w:rsidP="00380387">
      <w:pPr>
        <w:pStyle w:val="Antrat2"/>
        <w:ind w:right="-1" w:firstLine="0"/>
        <w:rPr>
          <w:rFonts w:cstheme="minorHAnsi"/>
          <w:bCs w:val="0"/>
        </w:rPr>
      </w:pPr>
      <w:bookmarkStart w:id="3" w:name="_Toc181709477"/>
      <w:r w:rsidRPr="00380387">
        <w:rPr>
          <w:rFonts w:cstheme="minorHAnsi"/>
          <w:bCs w:val="0"/>
        </w:rPr>
        <w:t>Sherov ir kiti prieš Lenkiją</w:t>
      </w:r>
      <w:bookmarkEnd w:id="3"/>
      <w:r w:rsidRPr="00380387">
        <w:rPr>
          <w:rFonts w:cstheme="minorHAnsi"/>
          <w:bCs w:val="0"/>
        </w:rPr>
        <w:t xml:space="preserve"> </w:t>
      </w:r>
    </w:p>
    <w:p w14:paraId="6414ADB9" w14:textId="577E3894" w:rsidR="00380387" w:rsidRPr="00536624" w:rsidRDefault="00380387" w:rsidP="00380387">
      <w:pPr>
        <w:pBdr>
          <w:top w:val="nil"/>
          <w:left w:val="nil"/>
          <w:bottom w:val="nil"/>
          <w:right w:val="nil"/>
          <w:between w:val="nil"/>
        </w:pBdr>
        <w:tabs>
          <w:tab w:val="left" w:pos="851"/>
        </w:tabs>
        <w:spacing w:after="0" w:line="240" w:lineRule="auto"/>
        <w:ind w:right="-1"/>
        <w:jc w:val="center"/>
        <w:rPr>
          <w:rFonts w:eastAsia="Times New Roman" w:cstheme="minorHAnsi"/>
          <w:b/>
        </w:rPr>
      </w:pPr>
      <w:r w:rsidRPr="00E961C8">
        <w:rPr>
          <w:b/>
          <w:bCs/>
        </w:rPr>
        <w:t>(pareiškim</w:t>
      </w:r>
      <w:r>
        <w:rPr>
          <w:b/>
          <w:bCs/>
        </w:rPr>
        <w:t>ų</w:t>
      </w:r>
      <w:r w:rsidRPr="00E961C8">
        <w:rPr>
          <w:b/>
          <w:bCs/>
        </w:rPr>
        <w:t xml:space="preserve"> Nr. </w:t>
      </w:r>
      <w:r w:rsidRPr="0058084B">
        <w:rPr>
          <w:b/>
          <w:bCs/>
        </w:rPr>
        <w:t>54029/17, 54117/17, 54128/17</w:t>
      </w:r>
      <w:r>
        <w:rPr>
          <w:b/>
          <w:bCs/>
        </w:rPr>
        <w:t xml:space="preserve"> ir</w:t>
      </w:r>
      <w:r w:rsidRPr="0058084B">
        <w:rPr>
          <w:b/>
          <w:bCs/>
        </w:rPr>
        <w:t xml:space="preserve"> 54255/17</w:t>
      </w:r>
      <w:r>
        <w:rPr>
          <w:b/>
          <w:bCs/>
        </w:rPr>
        <w:t>,</w:t>
      </w:r>
      <w:r w:rsidRPr="00536624">
        <w:rPr>
          <w:rFonts w:eastAsia="Times New Roman" w:cstheme="minorHAnsi"/>
          <w:b/>
        </w:rPr>
        <w:t xml:space="preserve"> svarbos lygis – </w:t>
      </w:r>
      <w:r>
        <w:rPr>
          <w:rFonts w:eastAsia="Times New Roman" w:cstheme="minorHAnsi"/>
          <w:b/>
        </w:rPr>
        <w:t>2</w:t>
      </w:r>
      <w:r w:rsidRPr="00536624">
        <w:rPr>
          <w:rFonts w:eastAsia="Times New Roman" w:cstheme="minorHAnsi"/>
          <w:b/>
        </w:rPr>
        <w:t>)</w:t>
      </w:r>
    </w:p>
    <w:p w14:paraId="08596FB9" w14:textId="77777777" w:rsidR="00380387" w:rsidRPr="00536624" w:rsidRDefault="00380387" w:rsidP="00380387">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6A1FB3B1" w14:textId="43909E7F" w:rsidR="00380387" w:rsidRPr="00380387" w:rsidRDefault="00380387" w:rsidP="00380387">
      <w:pPr>
        <w:pStyle w:val="Antrat3"/>
        <w:spacing w:before="0" w:line="240" w:lineRule="auto"/>
        <w:ind w:right="-1" w:firstLine="567"/>
        <w:rPr>
          <w:rFonts w:cstheme="minorHAnsi"/>
          <w:iCs/>
        </w:rPr>
      </w:pPr>
      <w:bookmarkStart w:id="4" w:name="_Toc181709478"/>
      <w:r w:rsidRPr="00380387">
        <w:rPr>
          <w:rFonts w:cstheme="minorHAnsi"/>
          <w:iCs/>
        </w:rPr>
        <w:t>Dėl atsisakymo įleisti į šalį teisėtai bandančius atvykti užsieniečius, kurie prašo tarptautinės apsaugos</w:t>
      </w:r>
      <w:bookmarkEnd w:id="4"/>
    </w:p>
    <w:p w14:paraId="5D3D82F0" w14:textId="77777777" w:rsidR="00380387" w:rsidRPr="00536624" w:rsidRDefault="00380387" w:rsidP="00380387">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1BD511C6" w14:textId="072864F1" w:rsidR="00380387" w:rsidRPr="00536624" w:rsidRDefault="00380387" w:rsidP="00380387">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58179193" w14:textId="77777777" w:rsidR="00380387" w:rsidRPr="00536624" w:rsidRDefault="00380387" w:rsidP="0038038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1B389A88" w14:textId="77777777" w:rsidR="00380387" w:rsidRDefault="00380387" w:rsidP="00380387">
      <w:pPr>
        <w:pBdr>
          <w:top w:val="nil"/>
          <w:left w:val="nil"/>
          <w:bottom w:val="nil"/>
          <w:right w:val="nil"/>
          <w:between w:val="nil"/>
        </w:pBdr>
        <w:tabs>
          <w:tab w:val="left" w:pos="851"/>
        </w:tabs>
        <w:spacing w:after="0" w:line="240" w:lineRule="auto"/>
        <w:ind w:right="-1" w:firstLine="567"/>
        <w:jc w:val="both"/>
      </w:pPr>
      <w:r>
        <w:t>Apžvelgiama byla susijusi su 4 pareiškėjų, kurie yra tadžikai, bandymais nuo 2016 m. gruodžio iki 2017 m. vasario per sienos perėjimo punktus patekti iš Ukrainos į Lenkiją. K</w:t>
      </w:r>
      <w:r w:rsidRPr="00C36FA7">
        <w:t xml:space="preserve">iekvieną kartą po pokalbių su pasienio apsaugos pareigūnais </w:t>
      </w:r>
      <w:r>
        <w:t xml:space="preserve">pareiškėjams </w:t>
      </w:r>
      <w:r w:rsidRPr="00C36FA7">
        <w:t>b</w:t>
      </w:r>
      <w:r>
        <w:t>ūdavo</w:t>
      </w:r>
      <w:r w:rsidRPr="00C36FA7">
        <w:t xml:space="preserve"> atsisakyta leisti </w:t>
      </w:r>
      <w:r>
        <w:t xml:space="preserve">atvykti ir jie </w:t>
      </w:r>
      <w:r w:rsidRPr="00C36FA7">
        <w:t>b</w:t>
      </w:r>
      <w:r>
        <w:t>ūdavo</w:t>
      </w:r>
      <w:r w:rsidRPr="00C36FA7">
        <w:t xml:space="preserve"> grąžin</w:t>
      </w:r>
      <w:r>
        <w:t xml:space="preserve">ami </w:t>
      </w:r>
      <w:r w:rsidRPr="00C36FA7">
        <w:t>į Ukrainą</w:t>
      </w:r>
      <w:r>
        <w:t xml:space="preserve">, tai užfiksuojant </w:t>
      </w:r>
      <w:r w:rsidRPr="00C36FA7">
        <w:t>oficiali</w:t>
      </w:r>
      <w:r>
        <w:t>uose dokumentuose</w:t>
      </w:r>
      <w:r w:rsidRPr="00C36FA7">
        <w:t>, kuri</w:t>
      </w:r>
      <w:r>
        <w:t>ų pareiškėjai ne</w:t>
      </w:r>
      <w:r w:rsidRPr="00C36FA7">
        <w:t>perskaitė</w:t>
      </w:r>
      <w:r>
        <w:t xml:space="preserve"> ir ne</w:t>
      </w:r>
      <w:r w:rsidRPr="00C36FA7">
        <w:t>pasirašė.</w:t>
      </w:r>
      <w:r>
        <w:t xml:space="preserve"> Pareiškėjai </w:t>
      </w:r>
      <w:r w:rsidRPr="004E75DB">
        <w:t>teig</w:t>
      </w:r>
      <w:r>
        <w:t>ė</w:t>
      </w:r>
      <w:r w:rsidRPr="004E75DB">
        <w:t xml:space="preserve">, kad kiekvieno bandymo metu </w:t>
      </w:r>
      <w:r>
        <w:t xml:space="preserve">jie </w:t>
      </w:r>
      <w:r w:rsidRPr="004E75DB">
        <w:t xml:space="preserve">nurodydavo </w:t>
      </w:r>
      <w:r>
        <w:t>siekią</w:t>
      </w:r>
      <w:r w:rsidRPr="004E75DB">
        <w:t xml:space="preserve"> tarptautinės apsaugos, nes jiems grėsė politinis persekiojimas Tadžikistane.</w:t>
      </w:r>
      <w:r>
        <w:t xml:space="preserve"> </w:t>
      </w:r>
    </w:p>
    <w:p w14:paraId="658D1CFC" w14:textId="77777777" w:rsidR="00380387" w:rsidRDefault="00380387" w:rsidP="00380387">
      <w:pPr>
        <w:pBdr>
          <w:top w:val="nil"/>
          <w:left w:val="nil"/>
          <w:bottom w:val="nil"/>
          <w:right w:val="nil"/>
          <w:between w:val="nil"/>
        </w:pBdr>
        <w:tabs>
          <w:tab w:val="left" w:pos="851"/>
        </w:tabs>
        <w:spacing w:after="0" w:line="240" w:lineRule="auto"/>
        <w:ind w:right="-1" w:firstLine="567"/>
        <w:jc w:val="both"/>
      </w:pPr>
      <w:r w:rsidRPr="0069416B">
        <w:t xml:space="preserve">Remdamiesi </w:t>
      </w:r>
      <w:r>
        <w:t>K</w:t>
      </w:r>
      <w:r w:rsidRPr="0069416B">
        <w:t xml:space="preserve">onvencijos 3 straipsniu, pareiškėjai </w:t>
      </w:r>
      <w:r>
        <w:t xml:space="preserve">Teismui </w:t>
      </w:r>
      <w:r w:rsidRPr="0069416B">
        <w:t>skund</w:t>
      </w:r>
      <w:r>
        <w:t>ėsi</w:t>
      </w:r>
      <w:r w:rsidRPr="0069416B">
        <w:t>, kad jiems buvo neleista pasinaudoti prieglobsčio prašymo procedūra Lenkijoje ir kad jie b</w:t>
      </w:r>
      <w:r>
        <w:t xml:space="preserve">uvo išsiųsti </w:t>
      </w:r>
      <w:r w:rsidRPr="0069416B">
        <w:t xml:space="preserve">į Ukrainą, kuri jiems nebuvo saugi šalis, nes </w:t>
      </w:r>
      <w:r>
        <w:t xml:space="preserve">ten </w:t>
      </w:r>
      <w:r w:rsidRPr="0069416B">
        <w:t>jiems grėsė išsiuntimas į Tadžikistaną.</w:t>
      </w:r>
      <w:r>
        <w:t xml:space="preserve"> </w:t>
      </w:r>
      <w:r w:rsidRPr="005E0C91">
        <w:t>Pareiškėjai taip pat teig</w:t>
      </w:r>
      <w:r>
        <w:t>ė</w:t>
      </w:r>
      <w:r w:rsidRPr="005E0C91">
        <w:t>, kad sprendimai neleisti jiems įvažiuoti į Lenkiją buvo platesnės politikos</w:t>
      </w:r>
      <w:r>
        <w:t xml:space="preserve"> – </w:t>
      </w:r>
      <w:r w:rsidRPr="005E0C91">
        <w:t>nepriimti tarptautinės apsaugos prašymų iš asmenų, besikreipiančių rytiniuose pasienio kontrolės punktuose</w:t>
      </w:r>
      <w:r>
        <w:t xml:space="preserve"> –</w:t>
      </w:r>
      <w:r w:rsidRPr="005E0C91">
        <w:t xml:space="preserve"> dalis, </w:t>
      </w:r>
      <w:r>
        <w:t xml:space="preserve">o tai </w:t>
      </w:r>
      <w:r w:rsidRPr="005E0C91">
        <w:t xml:space="preserve">prieštarauja Konvencijos 4 </w:t>
      </w:r>
      <w:r>
        <w:t>p</w:t>
      </w:r>
      <w:r w:rsidRPr="005E0C91">
        <w:t>rotokolo 4 straipsniui (užsieniečių kolektyvinio išsiuntimo draudimas).</w:t>
      </w:r>
      <w:r>
        <w:t xml:space="preserve"> </w:t>
      </w:r>
      <w:r w:rsidRPr="00AB7F06">
        <w:t xml:space="preserve">Galiausiai, remdamiesi Konvencijos 13 straipsniu (teise į veiksmingą teisinę gynybą) kartu su </w:t>
      </w:r>
      <w:r>
        <w:t xml:space="preserve">Konvencijos </w:t>
      </w:r>
      <w:r w:rsidRPr="00AB7F06">
        <w:t xml:space="preserve">4 </w:t>
      </w:r>
      <w:r>
        <w:t>p</w:t>
      </w:r>
      <w:r w:rsidRPr="00AB7F06">
        <w:t xml:space="preserve">rotokolo 4 straipsniu, </w:t>
      </w:r>
      <w:r>
        <w:t>pareiškėjai</w:t>
      </w:r>
      <w:r w:rsidRPr="00AB7F06">
        <w:t xml:space="preserve"> skund</w:t>
      </w:r>
      <w:r>
        <w:t>ėsi</w:t>
      </w:r>
      <w:r w:rsidRPr="00AB7F06">
        <w:t>, kad, nors jie turėjo teisę apskųsti sprendimus neleisti jiems įvažiuoti į Lenkiją, šie sprendimai buvo vykdomi nedelsiant, todėl jų apeliacijos neturėjo automatinio stabdomojo poveikio.</w:t>
      </w:r>
    </w:p>
    <w:p w14:paraId="719DD79F" w14:textId="77777777" w:rsidR="00380387" w:rsidRDefault="00380387" w:rsidP="00380387">
      <w:pPr>
        <w:pBdr>
          <w:top w:val="nil"/>
          <w:left w:val="nil"/>
          <w:bottom w:val="nil"/>
          <w:right w:val="nil"/>
          <w:between w:val="nil"/>
        </w:pBdr>
        <w:tabs>
          <w:tab w:val="left" w:pos="851"/>
        </w:tabs>
        <w:spacing w:after="0" w:line="240" w:lineRule="auto"/>
        <w:ind w:right="-1" w:firstLine="567"/>
        <w:jc w:val="both"/>
      </w:pPr>
    </w:p>
    <w:p w14:paraId="108559D5" w14:textId="77777777" w:rsidR="00380387" w:rsidRPr="00536624" w:rsidRDefault="00380387" w:rsidP="00380387">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66D4090F" w14:textId="77777777" w:rsidR="00380387" w:rsidRPr="00536624" w:rsidRDefault="00380387" w:rsidP="00380387">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6F6C65A1" w14:textId="77777777" w:rsidR="00380387" w:rsidRDefault="00380387" w:rsidP="00380387">
      <w:pPr>
        <w:pBdr>
          <w:top w:val="nil"/>
          <w:left w:val="nil"/>
          <w:bottom w:val="nil"/>
          <w:right w:val="nil"/>
          <w:between w:val="nil"/>
        </w:pBdr>
        <w:tabs>
          <w:tab w:val="left" w:pos="851"/>
        </w:tabs>
        <w:spacing w:after="0" w:line="240" w:lineRule="auto"/>
        <w:ind w:right="-1" w:firstLine="567"/>
        <w:jc w:val="both"/>
      </w:pPr>
      <w:r>
        <w:t xml:space="preserve">Nagrinėdamas pareiškėjų skundą Konvencijos 3 straipsnio aspektu, Teismas atsižvelgė į tai, kad Ukraina yra Konvencijos dalyvė. Nepaisant to, </w:t>
      </w:r>
      <w:r w:rsidRPr="00B36865">
        <w:t xml:space="preserve">Teismas </w:t>
      </w:r>
      <w:r>
        <w:t xml:space="preserve">vis dėlto </w:t>
      </w:r>
      <w:r w:rsidRPr="00B36865">
        <w:t>laik</w:t>
      </w:r>
      <w:r>
        <w:t>ėsi</w:t>
      </w:r>
      <w:r w:rsidRPr="00B36865">
        <w:t xml:space="preserve"> pozicijos, kad </w:t>
      </w:r>
      <w:r>
        <w:t xml:space="preserve">tai </w:t>
      </w:r>
      <w:r w:rsidRPr="00B36865">
        <w:t xml:space="preserve">neatleido Lenkijos valdžios institucijų nuo pareigos nuodugniai įvertinti pareiškėjų padėtį. </w:t>
      </w:r>
      <w:r>
        <w:t>A</w:t>
      </w:r>
      <w:r w:rsidRPr="00B36865">
        <w:t>tvyk</w:t>
      </w:r>
      <w:r>
        <w:t>ę</w:t>
      </w:r>
      <w:r w:rsidRPr="00B36865">
        <w:t xml:space="preserve"> į pasienio kontrolės punktą</w:t>
      </w:r>
      <w:r>
        <w:t>, pareiškėjai</w:t>
      </w:r>
      <w:r w:rsidRPr="00B36865">
        <w:t xml:space="preserve"> teigė, kad jiems gali kilti pavojus, jei jie būtų grąžinti į savo kilmės šalį. Nepaisant to, </w:t>
      </w:r>
      <w:r>
        <w:t>pareiškėjams nebuvo suteiktos</w:t>
      </w:r>
      <w:r w:rsidRPr="00B36865">
        <w:t xml:space="preserve"> veiksming</w:t>
      </w:r>
      <w:r>
        <w:t>os</w:t>
      </w:r>
      <w:r w:rsidRPr="00B36865">
        <w:t xml:space="preserve"> garantij</w:t>
      </w:r>
      <w:r>
        <w:t xml:space="preserve">os dėl </w:t>
      </w:r>
      <w:r w:rsidRPr="00B36865">
        <w:t>apsaugo</w:t>
      </w:r>
      <w:r>
        <w:t>s</w:t>
      </w:r>
      <w:r w:rsidRPr="00B36865">
        <w:t xml:space="preserve"> nuo rizikos patirti nežmonišką ar žeminantį elgesį. Teism</w:t>
      </w:r>
      <w:r>
        <w:t>o nuomone</w:t>
      </w:r>
      <w:r w:rsidRPr="00B36865">
        <w:t xml:space="preserve">, </w:t>
      </w:r>
      <w:r w:rsidRPr="00B75241">
        <w:rPr>
          <w:u w:val="single"/>
        </w:rPr>
        <w:t>siekdamos įvykdyti procesinius įsipareigojimus pagal Konvencijos 3 straipsnį, Lenkijos valdžios institucijos turėjo leisti pareiškėjams likti Lenkijos teritorijoje, kol bus nagrinėjamas jų prieglobsčio prašymas, arba, prieš išsiunčiant juos atgal į Ukrainą, turėjo išnagrinėti, ar ši valstybė yra saugi pareiškėjams ir ar jie ten turėtų galimybę pasinaudoti tinkama prieglobsčio procedūra</w:t>
      </w:r>
      <w:r w:rsidRPr="00B36865">
        <w:t>.</w:t>
      </w:r>
    </w:p>
    <w:p w14:paraId="2C83C1E2" w14:textId="77777777" w:rsidR="00380387" w:rsidRDefault="00380387" w:rsidP="00380387">
      <w:pPr>
        <w:pBdr>
          <w:top w:val="nil"/>
          <w:left w:val="nil"/>
          <w:bottom w:val="nil"/>
          <w:right w:val="nil"/>
          <w:between w:val="nil"/>
        </w:pBdr>
        <w:tabs>
          <w:tab w:val="left" w:pos="851"/>
        </w:tabs>
        <w:spacing w:after="0" w:line="240" w:lineRule="auto"/>
        <w:ind w:right="-1" w:firstLine="567"/>
        <w:jc w:val="both"/>
      </w:pPr>
      <w:r w:rsidRPr="00836515">
        <w:t xml:space="preserve">Teismas </w:t>
      </w:r>
      <w:r>
        <w:t>palankiai įvertino,</w:t>
      </w:r>
      <w:r w:rsidRPr="00836515">
        <w:t xml:space="preserve"> kad </w:t>
      </w:r>
      <w:r>
        <w:t xml:space="preserve">Lenkijos </w:t>
      </w:r>
      <w:r w:rsidRPr="00836515">
        <w:t>administraciniai teismai pripažino keletą nacionalinės procedūros trūkumų</w:t>
      </w:r>
      <w:r>
        <w:t xml:space="preserve">, be kita ko, </w:t>
      </w:r>
      <w:r w:rsidRPr="00836515">
        <w:t>nustat</w:t>
      </w:r>
      <w:r>
        <w:t>ydami,</w:t>
      </w:r>
      <w:r w:rsidRPr="00836515">
        <w:t xml:space="preserve"> jog pasienio tarnybos tinkamai neįvertino pareiškėjų padėties. Visų pirma,</w:t>
      </w:r>
      <w:r>
        <w:t xml:space="preserve"> tie</w:t>
      </w:r>
      <w:r w:rsidRPr="00836515">
        <w:t xml:space="preserve"> teismai pažymėjo, kad pasienio tarnybos nesurinko </w:t>
      </w:r>
      <w:r>
        <w:t>pakankamų</w:t>
      </w:r>
      <w:r w:rsidRPr="00836515">
        <w:t xml:space="preserve"> įrodymų, </w:t>
      </w:r>
      <w:r>
        <w:t>reikalingų</w:t>
      </w:r>
      <w:r w:rsidRPr="00836515">
        <w:t xml:space="preserve"> nustatyt</w:t>
      </w:r>
      <w:r>
        <w:t>i</w:t>
      </w:r>
      <w:r w:rsidRPr="00836515">
        <w:t>, ar pareiškėjai siekė pateikti tarptautinės apsaugos prašym</w:t>
      </w:r>
      <w:r>
        <w:t>us</w:t>
      </w:r>
      <w:r w:rsidRPr="00836515">
        <w:t xml:space="preserve">. </w:t>
      </w:r>
      <w:r>
        <w:t xml:space="preserve">Kita vertus, </w:t>
      </w:r>
      <w:r w:rsidRPr="00836515">
        <w:t>Teism</w:t>
      </w:r>
      <w:r>
        <w:t xml:space="preserve">o požiūriu, </w:t>
      </w:r>
      <w:r w:rsidRPr="00836515">
        <w:t xml:space="preserve">šios nacionalinių administracinių teismų išvados nepadarė jokios įtakos pareiškėjų padėčiai, kadangi apeliacija šiuose teismuose neturėjo automatinio stabdomojo poveikio. Dėl šios priežasties Teismas </w:t>
      </w:r>
      <w:r>
        <w:t>ėmėsi</w:t>
      </w:r>
      <w:r w:rsidRPr="00836515">
        <w:t xml:space="preserve"> nustatyti, ar pareiškėjai turėjo galimybę pasinaudoti prieglobsčio procedūra Lenkijoje.</w:t>
      </w:r>
      <w:r>
        <w:t xml:space="preserve"> </w:t>
      </w:r>
    </w:p>
    <w:p w14:paraId="55B1C042" w14:textId="77777777" w:rsidR="00380387" w:rsidRDefault="00380387" w:rsidP="00380387">
      <w:pPr>
        <w:pBdr>
          <w:top w:val="nil"/>
          <w:left w:val="nil"/>
          <w:bottom w:val="nil"/>
          <w:right w:val="nil"/>
          <w:between w:val="nil"/>
        </w:pBdr>
        <w:tabs>
          <w:tab w:val="left" w:pos="851"/>
        </w:tabs>
        <w:spacing w:after="0" w:line="240" w:lineRule="auto"/>
        <w:ind w:right="-1" w:firstLine="567"/>
        <w:jc w:val="both"/>
      </w:pPr>
      <w:r w:rsidRPr="00584132">
        <w:t>Atsižvelg</w:t>
      </w:r>
      <w:r>
        <w:t>damas</w:t>
      </w:r>
      <w:r w:rsidRPr="00584132">
        <w:t xml:space="preserve"> į tai, kad </w:t>
      </w:r>
      <w:r w:rsidRPr="005E36AA">
        <w:rPr>
          <w:u w:val="single"/>
        </w:rPr>
        <w:t>nebuvo pradėta jokia procedūra, kurioje būtų nagrinėjami pareiškėjų tarptautinės apsaugos prašymai, jiems būnant Lenkijos pasienio kontrolės punkte, ir kad pareiškėjai buvo grąžinti į Ukrainą neįvertinus, ar ši valstybė jiems yra saugi, ar jie turės galimybę pasinaudoti veiksminga ir tinkama prieglobsčio procedūra arba, ar jiems nekils grėsmė tapti grandininio išsiuntimo bei Konvencijos 3 straipsnyje draudžiamo elgesio aukomis, Teismas pripažino EŽTK 3 straipsnio procesinės dalies pažeidimą</w:t>
      </w:r>
      <w:r w:rsidRPr="00584132">
        <w:t>.</w:t>
      </w:r>
    </w:p>
    <w:p w14:paraId="1F2996EB" w14:textId="77777777" w:rsidR="00380387" w:rsidRPr="00A409CB" w:rsidRDefault="00380387" w:rsidP="00380387">
      <w:pPr>
        <w:pBdr>
          <w:top w:val="nil"/>
          <w:left w:val="nil"/>
          <w:bottom w:val="nil"/>
          <w:right w:val="nil"/>
          <w:between w:val="nil"/>
        </w:pBdr>
        <w:tabs>
          <w:tab w:val="left" w:pos="851"/>
        </w:tabs>
        <w:spacing w:after="0" w:line="240" w:lineRule="auto"/>
        <w:ind w:right="-1" w:firstLine="567"/>
        <w:jc w:val="both"/>
      </w:pPr>
      <w:r>
        <w:t xml:space="preserve">Konvencijos 4 protokolo 4 straipsnio aspektu Teismas </w:t>
      </w:r>
      <w:r w:rsidRPr="00A409CB">
        <w:t>pabrėž</w:t>
      </w:r>
      <w:r>
        <w:t>ė</w:t>
      </w:r>
      <w:r w:rsidRPr="00A409CB">
        <w:t xml:space="preserve">, kad pareiškėjai bandė pasinaudoti tarptautinės apsaugos prašymų priėmimo procedūra, kuri pagal nacionalinę teisę turėjo būti jiems prieinama. </w:t>
      </w:r>
      <w:r w:rsidRPr="005F607C">
        <w:rPr>
          <w:u w:val="single"/>
        </w:rPr>
        <w:t xml:space="preserve">Pareiškėjai mėgino kirsti sieną teisėtu būdu per oficialų kontrolės punktą, laikydamiesi atitinkamuose teisės aktuose numatytų reikalavimų. Todėl valstybės atsisakymas svarstyti pareiškėjų argumentus dėl tarptautinės </w:t>
      </w:r>
      <w:r w:rsidRPr="005F607C">
        <w:rPr>
          <w:u w:val="single"/>
        </w:rPr>
        <w:lastRenderedPageBreak/>
        <w:t>apsaugos prašymų pagrįstumo negali būti priskirtas pačių pareiškėjų elgesiui</w:t>
      </w:r>
      <w:r w:rsidRPr="00A409CB">
        <w:t>. Be to, antrojo ir ketvirtojo pareiškėjų advokato, kuris buvo pasienio kontrolės punkte, prašymas dalyvauti pareiškėjų apklausose ir susipažinti su jų bylomis buvo atmestas.</w:t>
      </w:r>
      <w:r>
        <w:t xml:space="preserve"> Atitinkamai, </w:t>
      </w:r>
      <w:r w:rsidRPr="00A409CB">
        <w:t xml:space="preserve">Teismas </w:t>
      </w:r>
      <w:r>
        <w:t xml:space="preserve">priėjo prie </w:t>
      </w:r>
      <w:r w:rsidRPr="00A409CB">
        <w:t>išvad</w:t>
      </w:r>
      <w:r>
        <w:t>os</w:t>
      </w:r>
      <w:r w:rsidRPr="00A409CB">
        <w:t xml:space="preserve">, kad </w:t>
      </w:r>
      <w:r w:rsidRPr="00A409CB">
        <w:rPr>
          <w:u w:val="single"/>
        </w:rPr>
        <w:t>sprendimai neleisti pareiškėjams įvažiuoti į Lenkiją nebuvo priimti tinkamai atsižvelg</w:t>
      </w:r>
      <w:r w:rsidRPr="0004651E">
        <w:rPr>
          <w:u w:val="single"/>
        </w:rPr>
        <w:t>us</w:t>
      </w:r>
      <w:r w:rsidRPr="00A409CB">
        <w:rPr>
          <w:u w:val="single"/>
        </w:rPr>
        <w:t xml:space="preserve"> į kiekvieno iš jų individualią padėtį ir buvo platesnės politikos</w:t>
      </w:r>
      <w:r w:rsidRPr="0004651E">
        <w:rPr>
          <w:u w:val="single"/>
        </w:rPr>
        <w:t xml:space="preserve"> (</w:t>
      </w:r>
      <w:r w:rsidRPr="00A409CB">
        <w:rPr>
          <w:u w:val="single"/>
        </w:rPr>
        <w:t xml:space="preserve">nepriimti tarptautinės apsaugos prašymų iš asmenų, </w:t>
      </w:r>
      <w:r w:rsidRPr="0004651E">
        <w:rPr>
          <w:u w:val="single"/>
        </w:rPr>
        <w:t xml:space="preserve">kurie jos prašo </w:t>
      </w:r>
      <w:r w:rsidRPr="00A409CB">
        <w:rPr>
          <w:u w:val="single"/>
        </w:rPr>
        <w:t>prie Lenkijos ir Ukrainos sienos</w:t>
      </w:r>
      <w:r w:rsidRPr="0004651E">
        <w:rPr>
          <w:u w:val="single"/>
        </w:rPr>
        <w:t>) dalis</w:t>
      </w:r>
      <w:r w:rsidRPr="00A409CB">
        <w:rPr>
          <w:u w:val="single"/>
        </w:rPr>
        <w:t>, taip pat šių asmenų grąžinimo į Ukrainą praktikos</w:t>
      </w:r>
      <w:r w:rsidRPr="0004651E">
        <w:rPr>
          <w:u w:val="single"/>
        </w:rPr>
        <w:t xml:space="preserve"> dalis</w:t>
      </w:r>
      <w:r w:rsidRPr="00A409CB">
        <w:rPr>
          <w:u w:val="single"/>
        </w:rPr>
        <w:t xml:space="preserve">, </w:t>
      </w:r>
      <w:r w:rsidRPr="0004651E">
        <w:rPr>
          <w:u w:val="single"/>
        </w:rPr>
        <w:t xml:space="preserve">o tai </w:t>
      </w:r>
      <w:r w:rsidRPr="00A409CB">
        <w:rPr>
          <w:u w:val="single"/>
        </w:rPr>
        <w:t>prieštarauja nacionalinei ir tarptautinei teisei. Tokie sprendimai</w:t>
      </w:r>
      <w:r w:rsidRPr="0004651E">
        <w:rPr>
          <w:u w:val="single"/>
        </w:rPr>
        <w:t>, Teismo požiūriu,</w:t>
      </w:r>
      <w:r w:rsidRPr="00A409CB">
        <w:rPr>
          <w:u w:val="single"/>
        </w:rPr>
        <w:t xml:space="preserve"> </w:t>
      </w:r>
      <w:r>
        <w:rPr>
          <w:u w:val="single"/>
        </w:rPr>
        <w:t>buvo</w:t>
      </w:r>
      <w:r w:rsidRPr="00A409CB">
        <w:rPr>
          <w:u w:val="single"/>
        </w:rPr>
        <w:t xml:space="preserve"> užsieniečių kolektyvin</w:t>
      </w:r>
      <w:r>
        <w:rPr>
          <w:u w:val="single"/>
        </w:rPr>
        <w:t>is</w:t>
      </w:r>
      <w:r w:rsidRPr="00A409CB">
        <w:rPr>
          <w:u w:val="single"/>
        </w:rPr>
        <w:t xml:space="preserve"> išsiuntim</w:t>
      </w:r>
      <w:r>
        <w:rPr>
          <w:u w:val="single"/>
        </w:rPr>
        <w:t xml:space="preserve">as, kurį draudžia </w:t>
      </w:r>
      <w:r w:rsidRPr="0004651E">
        <w:rPr>
          <w:u w:val="single"/>
        </w:rPr>
        <w:t xml:space="preserve">Konvencijos </w:t>
      </w:r>
      <w:r w:rsidRPr="00A409CB">
        <w:rPr>
          <w:u w:val="single"/>
        </w:rPr>
        <w:t xml:space="preserve">4 </w:t>
      </w:r>
      <w:r>
        <w:rPr>
          <w:u w:val="single"/>
        </w:rPr>
        <w:t>p</w:t>
      </w:r>
      <w:r w:rsidRPr="00A409CB">
        <w:rPr>
          <w:u w:val="single"/>
        </w:rPr>
        <w:t>rotokolo 4 straipsn</w:t>
      </w:r>
      <w:r>
        <w:rPr>
          <w:u w:val="single"/>
        </w:rPr>
        <w:t>is</w:t>
      </w:r>
      <w:r w:rsidRPr="00A409CB">
        <w:t>.</w:t>
      </w:r>
    </w:p>
    <w:p w14:paraId="198F8147" w14:textId="77777777" w:rsidR="00380387" w:rsidRDefault="00380387" w:rsidP="00380387">
      <w:pPr>
        <w:spacing w:after="0" w:line="240" w:lineRule="auto"/>
        <w:ind w:right="-1" w:firstLine="567"/>
        <w:jc w:val="both"/>
      </w:pPr>
      <w:r>
        <w:t>Nustatęs</w:t>
      </w:r>
      <w:r w:rsidRPr="00632E64">
        <w:t xml:space="preserve">, kad pareiškėjų grąžinimas į Ukrainą sudarė Konvencijos 3 straipsnio procesinės dalies ir 4 </w:t>
      </w:r>
      <w:r>
        <w:t>p</w:t>
      </w:r>
      <w:r w:rsidRPr="00632E64">
        <w:t>rotokolo 4 straipsnio pažeidimą</w:t>
      </w:r>
      <w:r>
        <w:t xml:space="preserve">, Teismas taip pat konstatavo, kad </w:t>
      </w:r>
      <w:r w:rsidRPr="00632E64">
        <w:t xml:space="preserve">pareiškėjų skundai dėl šių klausimų yra </w:t>
      </w:r>
      <w:r>
        <w:t xml:space="preserve">pakankamai </w:t>
      </w:r>
      <w:r w:rsidRPr="00632E64">
        <w:t xml:space="preserve">pagrįsti Konvencijos 13 straipsnio prasme. </w:t>
      </w:r>
      <w:r>
        <w:t>Šame kontekste</w:t>
      </w:r>
      <w:r w:rsidRPr="00632E64">
        <w:t xml:space="preserve"> Teismas </w:t>
      </w:r>
      <w:r>
        <w:t xml:space="preserve">priminė, kad </w:t>
      </w:r>
      <w:r w:rsidRPr="00632E64">
        <w:t xml:space="preserve">jau yra konstatavęs, </w:t>
      </w:r>
      <w:r>
        <w:t>jog</w:t>
      </w:r>
      <w:r w:rsidRPr="00632E64">
        <w:t xml:space="preserve"> </w:t>
      </w:r>
      <w:r w:rsidRPr="00A01E51">
        <w:rPr>
          <w:u w:val="single"/>
        </w:rPr>
        <w:t xml:space="preserve">skundas dėl atsisakymo leisti atvykti ir vėlesnė apeliacija administraciniuose teismuose nebuvo veiksmingos teisinės priemonės Konvencijos prasme, nes jos neturėjo automatinio sustabdomojo poveikio. Atsižvelgęs į tai, kad Vyriausybė nenurodė jokių kitų teisinės gynybos priemonių, kurios atitiktų Konvencijos 13 straipsnio kriterijus, Teismas pripažino, kad buvo padarytas Konvencijos 13 straipsnio pažeidimas, siejamas su Konvencijos 3 straipsniu ir 4 </w:t>
      </w:r>
      <w:r>
        <w:rPr>
          <w:u w:val="single"/>
        </w:rPr>
        <w:t>p</w:t>
      </w:r>
      <w:r w:rsidRPr="00A01E51">
        <w:rPr>
          <w:u w:val="single"/>
        </w:rPr>
        <w:t>rotokolo 4 straipsniu</w:t>
      </w:r>
      <w:r w:rsidRPr="00632E64">
        <w:t>.</w:t>
      </w:r>
    </w:p>
    <w:p w14:paraId="1AC325E5" w14:textId="77777777" w:rsidR="00380387" w:rsidRDefault="00380387" w:rsidP="00380387">
      <w:pPr>
        <w:spacing w:after="0" w:line="240" w:lineRule="auto"/>
        <w:ind w:right="-1" w:firstLine="567"/>
        <w:jc w:val="both"/>
      </w:pPr>
    </w:p>
    <w:p w14:paraId="315F3458" w14:textId="77777777" w:rsidR="00380387" w:rsidRDefault="00380387" w:rsidP="00380387">
      <w:pPr>
        <w:spacing w:after="0" w:line="240" w:lineRule="auto"/>
        <w:ind w:right="-1" w:firstLine="567"/>
        <w:jc w:val="both"/>
        <w:rPr>
          <w:rFonts w:cstheme="minorHAnsi"/>
        </w:rPr>
      </w:pPr>
      <w:r w:rsidRPr="00536624">
        <w:rPr>
          <w:rFonts w:cstheme="minorHAnsi"/>
        </w:rPr>
        <w:t>Išvad</w:t>
      </w:r>
      <w:r>
        <w:rPr>
          <w:rFonts w:cstheme="minorHAnsi"/>
        </w:rPr>
        <w:t>a</w:t>
      </w:r>
      <w:r w:rsidRPr="00536624">
        <w:rPr>
          <w:rFonts w:cstheme="minorHAnsi"/>
        </w:rPr>
        <w:t>:</w:t>
      </w:r>
      <w:r>
        <w:rPr>
          <w:rFonts w:cstheme="minorHAnsi"/>
        </w:rPr>
        <w:t xml:space="preserve"> pažeistas Konvencijos 3 straipsnis, Konvencijos 4 protokolo 4 straipsnis, Konvencijos 13 straipsnis, siejamas su Konvencijos 3 straipsniu ir 4 protokolo 4 straipsniu (vienbalsiai). </w:t>
      </w:r>
    </w:p>
    <w:p w14:paraId="2C67EC9C" w14:textId="55527A01" w:rsidR="00380387" w:rsidRDefault="008205BF" w:rsidP="00380387">
      <w:pPr>
        <w:spacing w:after="0" w:line="240" w:lineRule="auto"/>
        <w:ind w:right="-1" w:firstLine="567"/>
        <w:jc w:val="both"/>
        <w:rPr>
          <w:rFonts w:cstheme="minorHAnsi"/>
        </w:rPr>
      </w:pPr>
      <w:r w:rsidRPr="00DF173A">
        <w:rPr>
          <w:rFonts w:cstheme="minorHAnsi"/>
        </w:rPr>
        <w:t xml:space="preserve">41 straipsnis: </w:t>
      </w:r>
      <w:r>
        <w:rPr>
          <w:rFonts w:cstheme="minorHAnsi"/>
        </w:rPr>
        <w:t>p</w:t>
      </w:r>
      <w:r w:rsidR="00380387">
        <w:rPr>
          <w:rFonts w:cstheme="minorHAnsi"/>
        </w:rPr>
        <w:t>areiškėjams priteista po 13 000 Eur neturtinės žalos atlyginimo.</w:t>
      </w:r>
    </w:p>
    <w:p w14:paraId="51949D71" w14:textId="6EF1E127" w:rsidR="00837CD5" w:rsidRDefault="008205BF" w:rsidP="00837CD5">
      <w:pPr>
        <w:spacing w:after="0" w:line="240" w:lineRule="auto"/>
        <w:ind w:firstLine="567"/>
        <w:rPr>
          <w:rStyle w:val="Hipersaitas"/>
          <w:rFonts w:cs="Arial"/>
          <w:color w:val="auto"/>
        </w:rPr>
      </w:pPr>
      <w:hyperlink r:id="rId10" w:anchor="{%22sort%22:[%22kpdate%20Descending%22],%22itemid%22:[%22001-231867%22]}" w:history="1">
        <w:r>
          <w:rPr>
            <w:rStyle w:val="Hipersaitas"/>
            <w:rFonts w:cs="Arial"/>
          </w:rPr>
          <w:t>Prieiga internete</w:t>
        </w:r>
      </w:hyperlink>
    </w:p>
    <w:p w14:paraId="35E6154F" w14:textId="77777777" w:rsidR="008205BF" w:rsidRPr="00C170C3" w:rsidRDefault="008205BF" w:rsidP="00837CD5">
      <w:pPr>
        <w:spacing w:after="0" w:line="240" w:lineRule="auto"/>
        <w:ind w:firstLine="567"/>
        <w:rPr>
          <w:rStyle w:val="Hipersaitas"/>
          <w:rFonts w:cs="Arial"/>
          <w:color w:val="auto"/>
        </w:rPr>
      </w:pPr>
    </w:p>
    <w:p w14:paraId="4D68E84B" w14:textId="77777777" w:rsidR="00837CD5" w:rsidRPr="00C170C3" w:rsidRDefault="00837CD5" w:rsidP="00837CD5">
      <w:pPr>
        <w:pStyle w:val="Antrat1"/>
        <w:spacing w:before="0"/>
        <w:ind w:right="-1"/>
        <w:rPr>
          <w:rFonts w:eastAsia="Times New Roman"/>
        </w:rPr>
      </w:pPr>
      <w:bookmarkStart w:id="5" w:name="_Toc181709479"/>
      <w:r w:rsidRPr="00C170C3">
        <w:rPr>
          <w:rFonts w:eastAsia="Times New Roman"/>
        </w:rPr>
        <w:t>TEISĖ Į TEISINGĄ BYLOS NAGRINĖJIMĄ (6 straipsnis)</w:t>
      </w:r>
      <w:bookmarkEnd w:id="5"/>
    </w:p>
    <w:p w14:paraId="4CA462D5" w14:textId="77777777" w:rsidR="00837CD5" w:rsidRDefault="00837CD5" w:rsidP="00045B4F">
      <w:pPr>
        <w:pStyle w:val="Betarp"/>
        <w:ind w:right="-1"/>
        <w:rPr>
          <w:rFonts w:cstheme="minorHAnsi"/>
          <w:b/>
          <w:bCs/>
        </w:rPr>
      </w:pPr>
    </w:p>
    <w:p w14:paraId="41FAEB58" w14:textId="77777777" w:rsidR="00246199" w:rsidRPr="00315AA8" w:rsidRDefault="00246199" w:rsidP="0024619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315AA8">
        <w:rPr>
          <w:rFonts w:ascii="Calibri" w:eastAsia="Times New Roman" w:hAnsi="Calibri" w:cs="Calibri"/>
          <w:b/>
        </w:rPr>
        <w:t xml:space="preserve">Europos Žmogaus Teisių Teismo </w:t>
      </w:r>
      <w:r w:rsidRPr="00315AA8">
        <w:rPr>
          <w:rFonts w:ascii="Calibri" w:hAnsi="Calibri" w:cs="Calibri"/>
          <w:b/>
        </w:rPr>
        <w:t xml:space="preserve">2024 m. vasario 13 d. </w:t>
      </w:r>
      <w:r w:rsidRPr="00315AA8">
        <w:rPr>
          <w:rFonts w:ascii="Calibri" w:eastAsia="Times New Roman" w:hAnsi="Calibri" w:cs="Calibri"/>
          <w:b/>
        </w:rPr>
        <w:t>sprendimas byloje</w:t>
      </w:r>
    </w:p>
    <w:p w14:paraId="52235673" w14:textId="610D645D" w:rsidR="00246199" w:rsidRPr="00246199" w:rsidRDefault="00246199" w:rsidP="00246199">
      <w:pPr>
        <w:keepNext/>
        <w:keepLines/>
        <w:spacing w:after="0" w:line="240" w:lineRule="auto"/>
        <w:jc w:val="center"/>
        <w:outlineLvl w:val="1"/>
        <w:rPr>
          <w:rFonts w:ascii="Calibri" w:eastAsia="Times New Roman" w:hAnsi="Calibri" w:cs="Times New Roman"/>
          <w:b/>
          <w:bCs/>
          <w:i/>
          <w:iCs/>
          <w:color w:val="2E74B5"/>
        </w:rPr>
      </w:pPr>
      <w:bookmarkStart w:id="6" w:name="_Toc181709480"/>
      <w:r w:rsidRPr="00246199">
        <w:rPr>
          <w:rFonts w:ascii="Calibri" w:eastAsia="Times New Roman" w:hAnsi="Calibri" w:cs="Times New Roman"/>
          <w:b/>
          <w:bCs/>
          <w:i/>
          <w:iCs/>
          <w:color w:val="2E74B5"/>
        </w:rPr>
        <w:t>Jakutavičius</w:t>
      </w:r>
      <w:r>
        <w:rPr>
          <w:rFonts w:ascii="Calibri" w:eastAsia="Times New Roman" w:hAnsi="Calibri" w:cs="Times New Roman"/>
          <w:b/>
          <w:bCs/>
          <w:i/>
          <w:iCs/>
          <w:color w:val="2E74B5"/>
        </w:rPr>
        <w:t xml:space="preserve"> </w:t>
      </w:r>
      <w:r w:rsidRPr="00246199">
        <w:rPr>
          <w:rFonts w:ascii="Calibri" w:eastAsia="Times New Roman" w:hAnsi="Calibri" w:cs="Times New Roman"/>
          <w:b/>
          <w:bCs/>
          <w:i/>
          <w:iCs/>
          <w:color w:val="2E74B5"/>
        </w:rPr>
        <w:t>prieš Lietuvą</w:t>
      </w:r>
      <w:bookmarkEnd w:id="6"/>
    </w:p>
    <w:p w14:paraId="30B85E8F" w14:textId="77777777" w:rsidR="00246199" w:rsidRPr="00315AA8" w:rsidRDefault="00246199" w:rsidP="0024619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315AA8">
        <w:rPr>
          <w:rFonts w:ascii="Calibri" w:eastAsia="Times New Roman" w:hAnsi="Calibri" w:cs="Calibri"/>
          <w:b/>
        </w:rPr>
        <w:t xml:space="preserve">(pareiškimo Nr. </w:t>
      </w:r>
      <w:r w:rsidRPr="00315AA8">
        <w:rPr>
          <w:rFonts w:ascii="Calibri" w:eastAsia="Times New Roman" w:hAnsi="Calibri" w:cs="Calibri"/>
          <w:b/>
          <w:iCs/>
        </w:rPr>
        <w:t>42180/19</w:t>
      </w:r>
      <w:r w:rsidRPr="00315AA8">
        <w:rPr>
          <w:rFonts w:ascii="Calibri" w:eastAsia="Times New Roman" w:hAnsi="Calibri" w:cs="Calibri"/>
          <w:b/>
        </w:rPr>
        <w:t>, svarbos lygis – 2)</w:t>
      </w:r>
    </w:p>
    <w:p w14:paraId="2C105331" w14:textId="77777777" w:rsidR="00246199" w:rsidRPr="00315AA8" w:rsidRDefault="00246199" w:rsidP="0024619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p>
    <w:p w14:paraId="09543DF8" w14:textId="259C6900" w:rsidR="00246199" w:rsidRPr="00246199" w:rsidRDefault="00246199" w:rsidP="00246199">
      <w:pPr>
        <w:keepNext/>
        <w:keepLines/>
        <w:spacing w:after="0" w:line="240" w:lineRule="auto"/>
        <w:ind w:firstLine="567"/>
        <w:jc w:val="both"/>
        <w:outlineLvl w:val="2"/>
        <w:rPr>
          <w:rFonts w:ascii="Calibri" w:eastAsia="Times New Roman" w:hAnsi="Calibri" w:cs="Times New Roman"/>
          <w:i/>
          <w:szCs w:val="24"/>
        </w:rPr>
      </w:pPr>
      <w:bookmarkStart w:id="7" w:name="_Toc181709481"/>
      <w:r w:rsidRPr="00246199">
        <w:rPr>
          <w:rFonts w:ascii="Calibri" w:eastAsia="Times New Roman" w:hAnsi="Calibri" w:cs="Times New Roman"/>
          <w:i/>
          <w:szCs w:val="24"/>
        </w:rPr>
        <w:t>Dėl nacionalinių teismų atsisakymo atlyginti išlaidas, kurias asmuo patyrė administracinio teisės pažeidimo byloje, sėkmingai nuginčijęs jo nubaudimą už vairavimą neblaiviam</w:t>
      </w:r>
      <w:bookmarkEnd w:id="7"/>
      <w:r w:rsidR="00AC5344" w:rsidRPr="00694167">
        <w:rPr>
          <w:i/>
          <w:iCs/>
          <w:vertAlign w:val="superscript"/>
        </w:rPr>
        <w:footnoteReference w:id="1"/>
      </w:r>
    </w:p>
    <w:p w14:paraId="7FDA0B49" w14:textId="77777777" w:rsidR="00246199" w:rsidRPr="00315AA8" w:rsidRDefault="00246199" w:rsidP="00246199">
      <w:pPr>
        <w:spacing w:after="0" w:line="240" w:lineRule="auto"/>
        <w:ind w:right="-1"/>
        <w:rPr>
          <w:rFonts w:ascii="Calibri" w:eastAsia="Times New Roman" w:hAnsi="Calibri" w:cs="Calibri"/>
          <w:b/>
          <w:color w:val="323E4F" w:themeColor="text2" w:themeShade="BF"/>
        </w:rPr>
      </w:pPr>
    </w:p>
    <w:p w14:paraId="6AEFF890" w14:textId="77777777" w:rsidR="00246199" w:rsidRPr="00315AA8" w:rsidRDefault="00246199" w:rsidP="00246199">
      <w:pPr>
        <w:spacing w:after="0" w:line="240" w:lineRule="auto"/>
        <w:ind w:right="-1"/>
        <w:jc w:val="center"/>
        <w:rPr>
          <w:rFonts w:ascii="Calibri" w:hAnsi="Calibri" w:cs="Calibri"/>
          <w:b/>
        </w:rPr>
      </w:pPr>
      <w:r w:rsidRPr="00315AA8">
        <w:rPr>
          <w:rFonts w:ascii="Calibri" w:hAnsi="Calibri" w:cs="Calibri"/>
          <w:b/>
        </w:rPr>
        <w:t>Faktinės aplinkybės</w:t>
      </w:r>
    </w:p>
    <w:p w14:paraId="131F8EB2" w14:textId="77777777" w:rsidR="00246199" w:rsidRPr="00315AA8" w:rsidRDefault="00246199" w:rsidP="00246199">
      <w:pPr>
        <w:spacing w:after="0" w:line="240" w:lineRule="auto"/>
        <w:ind w:right="-1" w:firstLine="567"/>
        <w:jc w:val="center"/>
        <w:rPr>
          <w:rFonts w:ascii="Calibri" w:hAnsi="Calibri" w:cs="Calibri"/>
          <w:b/>
        </w:rPr>
      </w:pPr>
    </w:p>
    <w:p w14:paraId="3CB2092C" w14:textId="77777777" w:rsidR="00246199" w:rsidRPr="00315AA8" w:rsidRDefault="00246199" w:rsidP="00246199">
      <w:pPr>
        <w:spacing w:after="0" w:line="240" w:lineRule="auto"/>
        <w:ind w:right="-1" w:firstLine="567"/>
        <w:jc w:val="both"/>
        <w:rPr>
          <w:rFonts w:ascii="Calibri" w:hAnsi="Calibri" w:cs="Calibri"/>
        </w:rPr>
      </w:pPr>
      <w:r w:rsidRPr="00315AA8">
        <w:rPr>
          <w:rFonts w:ascii="Calibri" w:hAnsi="Calibri" w:cs="Calibri"/>
        </w:rPr>
        <w:t xml:space="preserve">Byloje </w:t>
      </w:r>
      <w:r>
        <w:rPr>
          <w:rFonts w:ascii="Calibri" w:hAnsi="Calibri" w:cs="Calibri"/>
        </w:rPr>
        <w:t xml:space="preserve">buvo </w:t>
      </w:r>
      <w:r w:rsidRPr="00315AA8">
        <w:rPr>
          <w:rFonts w:ascii="Calibri" w:hAnsi="Calibri" w:cs="Calibri"/>
        </w:rPr>
        <w:t xml:space="preserve">sprendžiamas pareiškėjo išlaidų, patirtų administracinio teisės pažeidimo byloje, kurioje jis sėkmingai nuginčijo jam </w:t>
      </w:r>
      <w:r w:rsidRPr="00922EE6">
        <w:rPr>
          <w:rFonts w:ascii="Calibri" w:hAnsi="Calibri" w:cs="Calibri"/>
        </w:rPr>
        <w:t>paskirtą</w:t>
      </w:r>
      <w:r w:rsidRPr="00315AA8">
        <w:rPr>
          <w:rFonts w:ascii="Calibri" w:hAnsi="Calibri" w:cs="Calibri"/>
        </w:rPr>
        <w:t xml:space="preserve"> </w:t>
      </w:r>
      <w:r>
        <w:rPr>
          <w:rFonts w:ascii="Calibri" w:hAnsi="Calibri" w:cs="Calibri"/>
        </w:rPr>
        <w:t>baudą ir administracinio poveikio priemonę (teisės vairuoti atėmimą)</w:t>
      </w:r>
      <w:r w:rsidRPr="00315AA8">
        <w:rPr>
          <w:rFonts w:ascii="Calibri" w:hAnsi="Calibri" w:cs="Calibri"/>
        </w:rPr>
        <w:t xml:space="preserve"> už vairavimą neblaiviam, atlyginimo klausimas. Pareiškėjas skundėsi, kad tai, jog jo išlaidos nebuvo kompensuotos, pažeidė jo teisę į veiksmingą gynybą, taip pažeidžiant Konvencijos 6 straipsnio 1 dalį.</w:t>
      </w:r>
    </w:p>
    <w:p w14:paraId="1516B3E7" w14:textId="77777777" w:rsidR="00246199" w:rsidRPr="00315AA8" w:rsidRDefault="00246199" w:rsidP="00246199">
      <w:pPr>
        <w:spacing w:after="0" w:line="240" w:lineRule="auto"/>
        <w:ind w:right="-1" w:firstLine="567"/>
        <w:jc w:val="both"/>
        <w:rPr>
          <w:rFonts w:ascii="Calibri" w:hAnsi="Calibri" w:cs="Calibri"/>
        </w:rPr>
      </w:pPr>
      <w:r w:rsidRPr="00315AA8">
        <w:rPr>
          <w:rFonts w:ascii="Calibri" w:hAnsi="Calibri" w:cs="Calibri"/>
        </w:rPr>
        <w:t>Pagal bylos fa</w:t>
      </w:r>
      <w:r>
        <w:rPr>
          <w:rFonts w:ascii="Calibri" w:hAnsi="Calibri" w:cs="Calibri"/>
        </w:rPr>
        <w:t>ktines aplinkybes</w:t>
      </w:r>
      <w:r w:rsidRPr="00315AA8">
        <w:rPr>
          <w:rFonts w:ascii="Calibri" w:hAnsi="Calibri" w:cs="Calibri"/>
        </w:rPr>
        <w:t xml:space="preserve"> 2014 m. vasarą pareiškėją, vairuojantį automobilį Palangoje, sustabdė policija ir paprašė pasitikrinti alkotesteriu. Patikrinus nustatytas 1,91 promilės girtumas (leistina norma – 0,4 promilės). Policija surašė administracinio teisės pažeidimo protokolą pagal Administracinių teisės pažeidimų kodekso 126 straipsnio 4 dalį ir nurodė, kad pareiškėjas pažeidimo neginčijo. Per vieną valandą po to, kai pareiškėją sustabdė policija, jis nuvyko į ligoninę, kur buvo atliktas kraujo tyrimas, pagal kurį jo kraujyje alkoholio nenustatyta.</w:t>
      </w:r>
    </w:p>
    <w:p w14:paraId="2300735F" w14:textId="77777777" w:rsidR="00246199" w:rsidRPr="00315AA8" w:rsidRDefault="00246199" w:rsidP="00246199">
      <w:pPr>
        <w:spacing w:after="0" w:line="240" w:lineRule="auto"/>
        <w:ind w:right="-1" w:firstLine="567"/>
        <w:jc w:val="both"/>
        <w:rPr>
          <w:rFonts w:ascii="Calibri" w:hAnsi="Calibri" w:cs="Calibri"/>
        </w:rPr>
      </w:pPr>
      <w:r w:rsidRPr="00315AA8">
        <w:rPr>
          <w:rFonts w:ascii="Calibri" w:hAnsi="Calibri" w:cs="Calibri"/>
        </w:rPr>
        <w:t xml:space="preserve">Vilniaus </w:t>
      </w:r>
      <w:r>
        <w:rPr>
          <w:rFonts w:ascii="Calibri" w:hAnsi="Calibri" w:cs="Calibri"/>
        </w:rPr>
        <w:t xml:space="preserve">miesto </w:t>
      </w:r>
      <w:r w:rsidRPr="00315AA8">
        <w:rPr>
          <w:rFonts w:ascii="Calibri" w:hAnsi="Calibri" w:cs="Calibri"/>
        </w:rPr>
        <w:t xml:space="preserve">apylinkės teismas 2015 m. sausio 20 d. pareiškėją pripažino kaltu dėl administracinio teisės pažeidimo padarymo vairuojant neblaiviam, skyrė 579 </w:t>
      </w:r>
      <w:r>
        <w:rPr>
          <w:rFonts w:ascii="Calibri" w:hAnsi="Calibri" w:cs="Calibri"/>
        </w:rPr>
        <w:t>Eur</w:t>
      </w:r>
      <w:r w:rsidRPr="00315AA8">
        <w:rPr>
          <w:rFonts w:ascii="Calibri" w:hAnsi="Calibri" w:cs="Calibri"/>
        </w:rPr>
        <w:t xml:space="preserve"> baudą ir dvejiems metams atėmė vairuotojo pažymėjimą. Tei</w:t>
      </w:r>
      <w:r>
        <w:rPr>
          <w:rFonts w:ascii="Calibri" w:hAnsi="Calibri" w:cs="Calibri"/>
        </w:rPr>
        <w:t xml:space="preserve">smas </w:t>
      </w:r>
      <w:r w:rsidRPr="00315AA8">
        <w:rPr>
          <w:rFonts w:ascii="Calibri" w:hAnsi="Calibri" w:cs="Calibri"/>
        </w:rPr>
        <w:t xml:space="preserve">konstatavo, kad objektyvių priežasčių abejoti alkotesterio patikrinimo rezultatų tikslumu nėra. </w:t>
      </w:r>
    </w:p>
    <w:p w14:paraId="6356BDCE" w14:textId="77777777" w:rsidR="00246199" w:rsidRPr="00315AA8" w:rsidRDefault="00246199" w:rsidP="00246199">
      <w:pPr>
        <w:spacing w:after="0" w:line="240" w:lineRule="auto"/>
        <w:ind w:right="-1" w:firstLine="567"/>
        <w:jc w:val="both"/>
        <w:rPr>
          <w:rFonts w:ascii="Calibri" w:hAnsi="Calibri" w:cs="Calibri"/>
        </w:rPr>
      </w:pPr>
      <w:r w:rsidRPr="00315AA8">
        <w:rPr>
          <w:rFonts w:ascii="Calibri" w:hAnsi="Calibri" w:cs="Calibri"/>
        </w:rPr>
        <w:lastRenderedPageBreak/>
        <w:t>Vilniaus apygardos teismas 2019 m. kovo 19 d. pagal pareiškėjo apeliacinį skundą panaikino žemesnės instancijos teismo sprendimą ir grąžino bylą nagrinėti iš naujo, motyvuodamas tuo, kad teismas netinkamai įvertino visus turimus įrodymus.</w:t>
      </w:r>
    </w:p>
    <w:p w14:paraId="11BC6DD1" w14:textId="77777777" w:rsidR="00246199" w:rsidRPr="00315AA8" w:rsidRDefault="00246199" w:rsidP="00246199">
      <w:pPr>
        <w:spacing w:after="0" w:line="240" w:lineRule="auto"/>
        <w:ind w:right="-1" w:firstLine="567"/>
        <w:jc w:val="both"/>
        <w:rPr>
          <w:rFonts w:ascii="Calibri" w:hAnsi="Calibri" w:cs="Calibri"/>
        </w:rPr>
      </w:pPr>
      <w:r w:rsidRPr="00315AA8">
        <w:rPr>
          <w:rFonts w:ascii="Calibri" w:hAnsi="Calibri" w:cs="Calibri"/>
        </w:rPr>
        <w:t>Išnagrinėjęs bylą iš naujo, Vilniaus</w:t>
      </w:r>
      <w:r>
        <w:rPr>
          <w:rFonts w:ascii="Calibri" w:hAnsi="Calibri" w:cs="Calibri"/>
        </w:rPr>
        <w:t xml:space="preserve"> miesto</w:t>
      </w:r>
      <w:r w:rsidRPr="00315AA8">
        <w:rPr>
          <w:rFonts w:ascii="Calibri" w:hAnsi="Calibri" w:cs="Calibri"/>
        </w:rPr>
        <w:t xml:space="preserve"> apylinkės teismas 2015 m. gegužės 25 d. administracinio teisės pažeidimo bylą nutraukė, nustatęs, kad nebuvo padaryta jokio pažeidimo. Teismas nusprendė, kad neturi pagrindo abejoti pareiškėjo pasakojimu apie įvykius, konkrečiai tuo, kad jis prieš pat patikrinimą alkotesteriu į burną papurškė kvepalų, o tai galėjo paaiškinti šio patikrinimo rezultatus, kurie nustebino net policijos pareigūną. Esant tokioms aplinkybėms alkotesterio patikrinimo rezultatai negalėjo būti laikomi patikimais. Kita vertus, teismas nenustatė pagrindo abejoti kraujo tyrimo tikslumu, todėl padarė išvadą, kad neįrodyta, jog pareiškėjas vairavo automobilį būdamas neblaivus.</w:t>
      </w:r>
    </w:p>
    <w:p w14:paraId="04CDA693" w14:textId="77777777" w:rsidR="00246199" w:rsidRPr="00315AA8" w:rsidRDefault="00246199" w:rsidP="00246199">
      <w:pPr>
        <w:spacing w:after="0" w:line="240" w:lineRule="auto"/>
        <w:ind w:right="-1" w:firstLine="567"/>
        <w:jc w:val="both"/>
        <w:rPr>
          <w:rFonts w:ascii="Calibri" w:hAnsi="Calibri" w:cs="Calibri"/>
        </w:rPr>
      </w:pPr>
      <w:r w:rsidRPr="00315AA8">
        <w:rPr>
          <w:rFonts w:ascii="Calibri" w:hAnsi="Calibri" w:cs="Calibri"/>
        </w:rPr>
        <w:t>Vilniaus apygardos teismas 2015 m. liepos 27 d. atmetė policijos apeliacinį skundą ir pirmosios instancijos teismo sprendimą paliko nepakeistą.</w:t>
      </w:r>
    </w:p>
    <w:p w14:paraId="607BF8FE" w14:textId="3A4BD5A3" w:rsidR="00246199" w:rsidRPr="00315AA8" w:rsidRDefault="00246199" w:rsidP="00246199">
      <w:pPr>
        <w:spacing w:after="0" w:line="240" w:lineRule="auto"/>
        <w:ind w:right="-1" w:firstLine="567"/>
        <w:jc w:val="both"/>
        <w:rPr>
          <w:rFonts w:ascii="Calibri" w:hAnsi="Calibri" w:cs="Calibri"/>
        </w:rPr>
      </w:pPr>
      <w:r w:rsidRPr="00315AA8">
        <w:rPr>
          <w:rFonts w:ascii="Calibri" w:hAnsi="Calibri" w:cs="Calibri"/>
        </w:rPr>
        <w:t>2017 m. balandžio mėn. pareiškėjas pagal Civilinio kodekso 6.271 straipsnį kreipėsi į teismą ir pareikalavo atlyginti neteisėtais policijos veiksmais jam padarytą 1 502 Eur turtinę žalą (202 Eur už DNR tyrimą ir 1 300 Eur advokato išlaidų). Tačiau nacionaliniai administraciniai teismai pareiškėjo skundą atmetė, motyvuodami tuo, kad šiuo atveju policijos pareigūnai tinkamai vykdė savo funkcijas ir jų veiksmai nebuvo neteisėti, o tai yra būtina sąlyga valstybės civilinei atsakomybei atsirasti.</w:t>
      </w:r>
      <w:r w:rsidR="0079108C">
        <w:rPr>
          <w:rFonts w:ascii="Calibri" w:hAnsi="Calibri" w:cs="Calibri"/>
        </w:rPr>
        <w:t xml:space="preserve"> </w:t>
      </w:r>
      <w:r w:rsidR="0079108C" w:rsidRPr="0079108C">
        <w:rPr>
          <w:rFonts w:ascii="Calibri" w:hAnsi="Calibri" w:cs="Calibri"/>
        </w:rPr>
        <w:t>Lietuvos vyriausiasis administracinis teismas, 2019 m. balandžio 3 d. priėmęs galutinę nutartį administracinėje byloje Nr. A-1049-1062/2019, akcentavo, kad administracinio teisės pažeidimo byloje teismas nenustatė jokių neteisėtų pareigūnų veiksmų vykdant administracinio teisės pažeidimo teiseną pareiškėjo atžvilgiu, taip pat nenustatytas pareigūnų neteisėtas veikimas ar neveikimas renkant pirminius įrodymus, iškeliant pareiškėjui administracinio teisės pažeidimo bylą ir vykdant teisės aktų pavestas tiesiogines pareigas tiriant pažeidimą. Byloje surinkti įrodymai patvirtino, kad pareigūnai laikėsi teisės aktų, reglamentuojančių administracinio teisės pažeidimo protokolo surašymą, todėl nebuvo pagrindo pripažinti, kad pareiškėjas patyrė turtinę žalą.</w:t>
      </w:r>
    </w:p>
    <w:p w14:paraId="0F0C0CD5" w14:textId="77777777" w:rsidR="00246199" w:rsidRPr="00315AA8" w:rsidRDefault="00246199" w:rsidP="00246199">
      <w:pPr>
        <w:spacing w:after="0" w:line="240" w:lineRule="auto"/>
        <w:ind w:right="-1"/>
        <w:rPr>
          <w:rFonts w:ascii="Calibri" w:eastAsia="Calibri" w:hAnsi="Calibri" w:cs="Calibri"/>
          <w:b/>
          <w:bCs/>
        </w:rPr>
      </w:pPr>
    </w:p>
    <w:p w14:paraId="5C54F1B6" w14:textId="77777777" w:rsidR="00246199" w:rsidRPr="00315AA8" w:rsidRDefault="00246199" w:rsidP="00246199">
      <w:pPr>
        <w:shd w:val="clear" w:color="auto" w:fill="FFFFFF"/>
        <w:spacing w:after="0" w:line="240" w:lineRule="auto"/>
        <w:ind w:right="-1"/>
        <w:jc w:val="center"/>
        <w:rPr>
          <w:rFonts w:ascii="Calibri" w:eastAsia="Times New Roman" w:hAnsi="Calibri" w:cs="Calibri"/>
          <w:b/>
          <w:bCs/>
          <w:color w:val="000000"/>
        </w:rPr>
      </w:pPr>
      <w:r w:rsidRPr="00315AA8">
        <w:rPr>
          <w:rFonts w:ascii="Calibri" w:eastAsia="Times New Roman" w:hAnsi="Calibri" w:cs="Calibri"/>
          <w:b/>
          <w:bCs/>
          <w:color w:val="000000"/>
        </w:rPr>
        <w:t>Neoficiali Teismo sprendimo apžvalga</w:t>
      </w:r>
    </w:p>
    <w:p w14:paraId="41C9C502" w14:textId="77777777" w:rsidR="00246199" w:rsidRPr="00315AA8" w:rsidRDefault="00246199" w:rsidP="00246199">
      <w:pPr>
        <w:spacing w:after="0" w:line="240" w:lineRule="auto"/>
        <w:ind w:right="-1" w:firstLine="567"/>
        <w:jc w:val="both"/>
        <w:rPr>
          <w:rFonts w:ascii="Calibri" w:hAnsi="Calibri" w:cs="Calibri"/>
        </w:rPr>
      </w:pPr>
    </w:p>
    <w:p w14:paraId="7497BB29" w14:textId="6F77EFFA" w:rsidR="00246199" w:rsidRPr="00315AA8" w:rsidRDefault="00246199" w:rsidP="00246199">
      <w:pPr>
        <w:tabs>
          <w:tab w:val="left" w:pos="567"/>
        </w:tabs>
        <w:spacing w:after="0" w:line="240" w:lineRule="auto"/>
        <w:ind w:right="-1" w:firstLine="567"/>
        <w:jc w:val="both"/>
        <w:rPr>
          <w:rFonts w:ascii="Calibri" w:hAnsi="Calibri" w:cs="Calibri"/>
        </w:rPr>
      </w:pPr>
      <w:r w:rsidRPr="00315AA8">
        <w:rPr>
          <w:rFonts w:ascii="Calibri" w:hAnsi="Calibri" w:cs="Calibri"/>
        </w:rPr>
        <w:t xml:space="preserve">EŽTT </w:t>
      </w:r>
      <w:r w:rsidR="00AC5344">
        <w:rPr>
          <w:rFonts w:ascii="Calibri" w:hAnsi="Calibri" w:cs="Calibri"/>
        </w:rPr>
        <w:t xml:space="preserve">visų pirma </w:t>
      </w:r>
      <w:r w:rsidRPr="00315AA8">
        <w:rPr>
          <w:rFonts w:ascii="Calibri" w:hAnsi="Calibri" w:cs="Calibri"/>
        </w:rPr>
        <w:t>pažymėjo, kad Lietuvos Respublikos Konstitucinis Teismas 2021 m. kovo 19 d. nutarime konstatavo, jog bylos aplinkybių metu galiojęs nacionalinis teisinis reguliavimas yra nesuderinamas su Lietuvos Respublikos Konstitucijos garantuojama teise kreiptis į teismą. Dėl to buvo atlikti atitinkami teisinio reguliavimo pakeitimai: nuo 2022 m. gegužės 1 d. buvo numatyta, kad asmenys, išteisinti baudžiamojoje byloje, taip pat tie, kurių atžvilgiu administracinio teisės pažeidimo teisena buvo nutraukta tuo pagrindu, kad nebuvo padarytas pažeidimas, turi teisę į bylinėjimosi išlaidų atlyginimą. Nepaisant šių aplinkybių, Teismas toliau nusprendė vertinti pareiškėjo faktinę situaciją ir tai, ar jo teisė į veiksmingą gynybą buvo apribota.</w:t>
      </w:r>
    </w:p>
    <w:p w14:paraId="7BF40123" w14:textId="072F748C" w:rsidR="00246199" w:rsidRPr="00315AA8" w:rsidRDefault="00246199" w:rsidP="00246199">
      <w:pPr>
        <w:tabs>
          <w:tab w:val="left" w:pos="567"/>
        </w:tabs>
        <w:spacing w:after="0" w:line="240" w:lineRule="auto"/>
        <w:ind w:right="-1" w:firstLine="567"/>
        <w:jc w:val="both"/>
        <w:rPr>
          <w:rFonts w:ascii="Calibri" w:hAnsi="Calibri" w:cs="Calibri"/>
        </w:rPr>
      </w:pPr>
      <w:r w:rsidRPr="00315AA8">
        <w:rPr>
          <w:rFonts w:ascii="Calibri" w:hAnsi="Calibri" w:cs="Calibri"/>
        </w:rPr>
        <w:t>Teismas nurodė, kad pareiškėjas turėjo galimybę teisme nuginčyti jam pritaikytą administracinę atsakomybę</w:t>
      </w:r>
      <w:r>
        <w:rPr>
          <w:rFonts w:ascii="Calibri" w:hAnsi="Calibri" w:cs="Calibri"/>
        </w:rPr>
        <w:t>, tačiau tai savaime neužtikrino</w:t>
      </w:r>
      <w:r w:rsidRPr="00315AA8">
        <w:rPr>
          <w:rFonts w:ascii="Calibri" w:hAnsi="Calibri" w:cs="Calibri"/>
        </w:rPr>
        <w:t xml:space="preserve"> visų Konvencijos 6 straipsnio 1 dalies garantijų, nes savo praktikoje Teismas jau yra nusprendęs, kad teisė į teismą ribojama, jei pareiškėjas įpareigojamas padengti didelę teismo išlaidų dalį arba atlyginti kitos šalies patirtas bylinėjimosi išlaidas, arba kai atsisakoma atlyginti pareiškėjo patirtas išlaidas.</w:t>
      </w:r>
      <w:r w:rsidR="00976B95">
        <w:rPr>
          <w:rFonts w:ascii="Calibri" w:hAnsi="Calibri" w:cs="Calibri"/>
        </w:rPr>
        <w:t xml:space="preserve"> </w:t>
      </w:r>
      <w:r w:rsidRPr="00315AA8">
        <w:rPr>
          <w:rFonts w:ascii="Calibri" w:hAnsi="Calibri" w:cs="Calibri"/>
        </w:rPr>
        <w:t>Todėl Teismas konstatavo, kad pareiškėjo pareiga padengti savo teisinės gynybos ir kitas dėl proceso patirtas išlaidas, nepaisant to, kad buvo priimtas jam palankus teismo sprendimas, prilygsta jo teisės kreiptis į teismą apribojimui.</w:t>
      </w:r>
    </w:p>
    <w:p w14:paraId="5ADC959F" w14:textId="49F24308" w:rsidR="00246199" w:rsidRPr="00315AA8" w:rsidRDefault="00246199" w:rsidP="00246199">
      <w:pPr>
        <w:tabs>
          <w:tab w:val="left" w:pos="567"/>
        </w:tabs>
        <w:spacing w:after="0" w:line="240" w:lineRule="auto"/>
        <w:ind w:right="-1" w:firstLine="567"/>
        <w:jc w:val="both"/>
        <w:rPr>
          <w:rFonts w:ascii="Calibri" w:hAnsi="Calibri" w:cs="Calibri"/>
        </w:rPr>
      </w:pPr>
      <w:r w:rsidRPr="00315AA8">
        <w:rPr>
          <w:rFonts w:ascii="Calibri" w:hAnsi="Calibri" w:cs="Calibri"/>
        </w:rPr>
        <w:t>Vertindamas, ar nustatytu apribojimu siek</w:t>
      </w:r>
      <w:r>
        <w:rPr>
          <w:rFonts w:ascii="Calibri" w:hAnsi="Calibri" w:cs="Calibri"/>
        </w:rPr>
        <w:t>t</w:t>
      </w:r>
      <w:r w:rsidRPr="00315AA8">
        <w:rPr>
          <w:rFonts w:ascii="Calibri" w:hAnsi="Calibri" w:cs="Calibri"/>
        </w:rPr>
        <w:t>a teisė</w:t>
      </w:r>
      <w:r>
        <w:rPr>
          <w:rFonts w:ascii="Calibri" w:hAnsi="Calibri" w:cs="Calibri"/>
        </w:rPr>
        <w:t>t</w:t>
      </w:r>
      <w:r w:rsidRPr="00315AA8">
        <w:rPr>
          <w:rFonts w:ascii="Calibri" w:hAnsi="Calibri" w:cs="Calibri"/>
        </w:rPr>
        <w:t>o tikslo, Teismas pažymėjo, kad</w:t>
      </w:r>
      <w:r w:rsidRPr="00315AA8">
        <w:rPr>
          <w:rFonts w:cstheme="minorHAnsi"/>
          <w:sz w:val="18"/>
          <w:szCs w:val="18"/>
        </w:rPr>
        <w:t xml:space="preserve"> </w:t>
      </w:r>
      <w:r w:rsidRPr="00B766D2">
        <w:rPr>
          <w:rFonts w:ascii="Calibri" w:hAnsi="Calibri" w:cs="Calibri"/>
          <w:u w:val="single"/>
        </w:rPr>
        <w:t>su viešuoju interesu susiję finansiniai sumetimai kartais gali turėti įtakos valstybės politikai mažinti valstybės išlaidas</w:t>
      </w:r>
      <w:r>
        <w:rPr>
          <w:rFonts w:ascii="Calibri" w:hAnsi="Calibri" w:cs="Calibri"/>
        </w:rPr>
        <w:t xml:space="preserve">. </w:t>
      </w:r>
      <w:r w:rsidRPr="00315AA8">
        <w:rPr>
          <w:rFonts w:ascii="Calibri" w:hAnsi="Calibri" w:cs="Calibri"/>
        </w:rPr>
        <w:t>Atsižvelgdamas į Vyriausybės argumentą dėl finansinės naštos, kuri valstybei tektų dėl pareigos atlyginti bylinėjimosi išlaidas administracinių teisės pažeidimų bylose, Teismas sutiko, kad aptariamu apribojimu buvo siekiama teisėto tikslo.</w:t>
      </w:r>
    </w:p>
    <w:p w14:paraId="5B64E2FB" w14:textId="4B63AD0A" w:rsidR="00246199" w:rsidRPr="00315AA8" w:rsidRDefault="00246199" w:rsidP="00246199">
      <w:pPr>
        <w:tabs>
          <w:tab w:val="left" w:pos="567"/>
        </w:tabs>
        <w:spacing w:after="0" w:line="240" w:lineRule="auto"/>
        <w:ind w:right="-1" w:firstLine="567"/>
        <w:jc w:val="both"/>
        <w:rPr>
          <w:rFonts w:ascii="Calibri" w:hAnsi="Calibri" w:cs="Calibri"/>
        </w:rPr>
      </w:pPr>
      <w:r w:rsidRPr="00315AA8">
        <w:rPr>
          <w:rFonts w:ascii="Calibri" w:hAnsi="Calibri" w:cs="Calibri"/>
        </w:rPr>
        <w:t>Vertindamas, ar apribojimas buvo proporcingas siekiamam tikslui, EŽTT nurodė, kad siekiant nustatyti, ar nagrinė</w:t>
      </w:r>
      <w:r>
        <w:rPr>
          <w:rFonts w:ascii="Calibri" w:hAnsi="Calibri" w:cs="Calibri"/>
        </w:rPr>
        <w:t>t</w:t>
      </w:r>
      <w:r w:rsidRPr="00315AA8">
        <w:rPr>
          <w:rFonts w:ascii="Calibri" w:hAnsi="Calibri" w:cs="Calibri"/>
        </w:rPr>
        <w:t xml:space="preserve">os bylos aplinkybėmis buvo neproporcingai apribota pareiškėjo teisė į teismą, svarbūs kriterijai yra šie: svarba to, dėl ko bylinėjamasi, atitinkamos teisės ir procedūros sudėtingumas ir pareiškėjo asmeninė padėtis. Teismas, atsižvelgdamas į tai, kad administracinio teisės pažeidimo byloje pareiškėjui grėsė 579 Eur piniginė bauda ir vairuotojo pažymėjimo atėmimas dvejiems metams, buvo linkęs sutikti, kad byla dėl tokių priemonių taikymo buvo labai svarbi pareiškėjui. </w:t>
      </w:r>
    </w:p>
    <w:p w14:paraId="48649871" w14:textId="3EC8B183" w:rsidR="00246199" w:rsidRPr="00315AA8" w:rsidRDefault="00246199" w:rsidP="00246199">
      <w:pPr>
        <w:tabs>
          <w:tab w:val="left" w:pos="567"/>
        </w:tabs>
        <w:spacing w:after="0" w:line="240" w:lineRule="auto"/>
        <w:ind w:right="-1" w:firstLine="567"/>
        <w:jc w:val="both"/>
        <w:rPr>
          <w:rFonts w:ascii="Calibri" w:hAnsi="Calibri" w:cs="Calibri"/>
        </w:rPr>
      </w:pPr>
      <w:r w:rsidRPr="00315AA8">
        <w:rPr>
          <w:rFonts w:ascii="Calibri" w:hAnsi="Calibri" w:cs="Calibri"/>
        </w:rPr>
        <w:lastRenderedPageBreak/>
        <w:t>Tuo pat metu Teismas nevertino, kad procesas buvo ypač sudėtingas, nes jis iš esmės buvo susiję su vieninteliu fakto klausimu – ar buvo pakankamai įtikinamai įrodyta, kad pareiškėjas vairavo neblaivus. Policijos pareigūnai rėmėsi alkotesterio patikrinimo rezultatais, o pareiškėja</w:t>
      </w:r>
      <w:r>
        <w:rPr>
          <w:rFonts w:ascii="Calibri" w:hAnsi="Calibri" w:cs="Calibri"/>
        </w:rPr>
        <w:t>s – kraujo tyrimu, taigi</w:t>
      </w:r>
      <w:r w:rsidRPr="00315AA8">
        <w:rPr>
          <w:rFonts w:ascii="Calibri" w:hAnsi="Calibri" w:cs="Calibri"/>
        </w:rPr>
        <w:t xml:space="preserve"> teismai turėjo nuspręsti, kuriam iš šių įrodymų turėtų būti suteikta didesnė reikšmė. Pareiškėjas neteigė, kad tam, jog jis galėtų veiksmingai gintis, jam reikalingos tam tikroje srityje besispecializuojančio advokato paslaugos (priešingai nei 2020 m. vasario 18 d. sprendime </w:t>
      </w:r>
      <w:r w:rsidRPr="00315AA8">
        <w:rPr>
          <w:rFonts w:ascii="Calibri" w:hAnsi="Calibri" w:cs="Calibri"/>
          <w:i/>
          <w:iCs/>
        </w:rPr>
        <w:t>Černius ir Rinkevičius prieš Lietuvą</w:t>
      </w:r>
      <w:r w:rsidRPr="00315AA8">
        <w:rPr>
          <w:rFonts w:ascii="Calibri" w:hAnsi="Calibri" w:cs="Calibri"/>
        </w:rPr>
        <w:t>, pareiškimo Nr. 73579/17 ir 14620/18, 70 punktas), taip pat nepateikė jokių kitų argumentų, susijusių su proceso sudėtingumu.</w:t>
      </w:r>
    </w:p>
    <w:p w14:paraId="5638F80C" w14:textId="4A552065" w:rsidR="00246199" w:rsidRPr="00315AA8" w:rsidRDefault="00246199" w:rsidP="00246199">
      <w:pPr>
        <w:tabs>
          <w:tab w:val="left" w:pos="567"/>
        </w:tabs>
        <w:spacing w:after="0" w:line="240" w:lineRule="auto"/>
        <w:ind w:right="-1" w:firstLine="567"/>
        <w:jc w:val="both"/>
        <w:rPr>
          <w:rFonts w:ascii="Calibri" w:hAnsi="Calibri" w:cs="Calibri"/>
        </w:rPr>
      </w:pPr>
      <w:r w:rsidRPr="00315AA8">
        <w:rPr>
          <w:rFonts w:ascii="Calibri" w:hAnsi="Calibri" w:cs="Calibri"/>
        </w:rPr>
        <w:t>Pažymėta, jog nei nacionaliniuose teismuose, nei procese Strasbūro teisme pareiškėjas netvirtino, kad dėl patirtų 1 502 Eur išlaidų jis patyrė neproporcingą naštą, atsižvelgiant į jo finansinį padėtį.</w:t>
      </w:r>
      <w:r w:rsidRPr="00315AA8">
        <w:rPr>
          <w:rFonts w:cstheme="minorHAnsi"/>
          <w:sz w:val="18"/>
          <w:szCs w:val="18"/>
        </w:rPr>
        <w:t xml:space="preserve"> </w:t>
      </w:r>
      <w:r w:rsidRPr="00315AA8">
        <w:rPr>
          <w:rFonts w:ascii="Calibri" w:hAnsi="Calibri" w:cs="Calibri"/>
        </w:rPr>
        <w:t>Be to,</w:t>
      </w:r>
      <w:r w:rsidRPr="00BC2E46">
        <w:rPr>
          <w:rFonts w:ascii="Calibri" w:hAnsi="Calibri" w:cs="Calibri"/>
          <w:u w:val="single"/>
        </w:rPr>
        <w:t xml:space="preserve"> atsižvelgęs į tai, kad administracinio </w:t>
      </w:r>
      <w:r>
        <w:rPr>
          <w:rFonts w:ascii="Calibri" w:hAnsi="Calibri" w:cs="Calibri"/>
          <w:u w:val="single"/>
        </w:rPr>
        <w:t xml:space="preserve">teisės </w:t>
      </w:r>
      <w:r w:rsidRPr="00BC2E46">
        <w:rPr>
          <w:rFonts w:ascii="Calibri" w:hAnsi="Calibri" w:cs="Calibri"/>
          <w:u w:val="single"/>
        </w:rPr>
        <w:t>pažeidimo byloje pareiškėjui grėsė ne tik bauda, bet ir teisės vairuoti 2 metus atėmimas, EŽTT manė, kad negalima teigti, jog dėl atsisakymo atlyginti išlaidas, jo bylinėjimasis buvo beprasmiškas arba kad pareiškėjas atsidūrė blogesnėje padėtyje nei prieš kreipimąsi į teismą</w:t>
      </w:r>
      <w:r w:rsidRPr="00315AA8">
        <w:rPr>
          <w:rFonts w:ascii="Calibri" w:hAnsi="Calibri" w:cs="Calibri"/>
        </w:rPr>
        <w:t>.</w:t>
      </w:r>
    </w:p>
    <w:p w14:paraId="6290CBC2" w14:textId="533C2334" w:rsidR="00246199" w:rsidRPr="00315AA8" w:rsidRDefault="00246199" w:rsidP="00246199">
      <w:pPr>
        <w:tabs>
          <w:tab w:val="left" w:pos="567"/>
        </w:tabs>
        <w:spacing w:after="0" w:line="240" w:lineRule="auto"/>
        <w:ind w:right="-1" w:firstLine="567"/>
        <w:jc w:val="both"/>
        <w:rPr>
          <w:rFonts w:ascii="Calibri" w:hAnsi="Calibri" w:cs="Calibri"/>
        </w:rPr>
      </w:pPr>
      <w:r w:rsidRPr="00315AA8">
        <w:rPr>
          <w:rFonts w:ascii="Calibri" w:hAnsi="Calibri" w:cs="Calibri"/>
        </w:rPr>
        <w:t xml:space="preserve">Galiausiai Teismas pažymėjo, </w:t>
      </w:r>
      <w:r w:rsidR="00976B95">
        <w:rPr>
          <w:rFonts w:ascii="Calibri" w:hAnsi="Calibri" w:cs="Calibri"/>
        </w:rPr>
        <w:t xml:space="preserve">kad </w:t>
      </w:r>
      <w:r w:rsidRPr="00315AA8">
        <w:rPr>
          <w:rFonts w:ascii="Calibri" w:hAnsi="Calibri" w:cs="Calibri"/>
        </w:rPr>
        <w:t xml:space="preserve">faktinių aplinkybių metu nacionalinė teisė numatė bylinėjimosi išlaidų, patirtų administracinių </w:t>
      </w:r>
      <w:r>
        <w:rPr>
          <w:rFonts w:ascii="Calibri" w:hAnsi="Calibri" w:cs="Calibri"/>
        </w:rPr>
        <w:t xml:space="preserve">teisės </w:t>
      </w:r>
      <w:r w:rsidRPr="00315AA8">
        <w:rPr>
          <w:rFonts w:ascii="Calibri" w:hAnsi="Calibri" w:cs="Calibri"/>
        </w:rPr>
        <w:t>pažeidimų bylose, atlyginimą tik tais atvejais, kai buvo nustatyta, kad atitinkamos valdžios institucijos ar pareigūnai veikė neteisėtai. Pareiškėjo skundą atmetę administraciniai teismai konstatavo, kad policijos pareigūnai veikė pagal savo kompetenciją, sustabdydami jį, atlikdami patikrinimą alkotesteriu ir pagal šio patikrinimo rezultatus surašydami administracinio teisės pažeidimo protokolą</w:t>
      </w:r>
      <w:r>
        <w:rPr>
          <w:rFonts w:ascii="Calibri" w:hAnsi="Calibri" w:cs="Calibri"/>
        </w:rPr>
        <w:t>,</w:t>
      </w:r>
      <w:r w:rsidRPr="00315AA8">
        <w:rPr>
          <w:rFonts w:ascii="Calibri" w:hAnsi="Calibri" w:cs="Calibri"/>
        </w:rPr>
        <w:t xml:space="preserve"> bei kad vėlesni įrodymai, kuriais pareiškėjas paneigė kaltinimą dėl vairavimo apsvaigus nuo alkoholio, nepadarė policijos pareigūnų veiksmų įvykio metu neteisėtais. </w:t>
      </w:r>
      <w:r w:rsidRPr="00315AA8">
        <w:rPr>
          <w:rFonts w:ascii="Calibri" w:hAnsi="Calibri" w:cs="Calibri"/>
          <w:u w:val="single"/>
        </w:rPr>
        <w:t>Teismas, atsižvelgdamas į gana neįprastas aptariamo įvykio aplinkybes ir paties pareiškėjo veiksmus, kurie iš esmės prisidėjo prie policijos sprendimo skirti jam baudą</w:t>
      </w:r>
      <w:r w:rsidRPr="00315AA8">
        <w:rPr>
          <w:rFonts w:ascii="Calibri" w:hAnsi="Calibri" w:cs="Calibri"/>
        </w:rPr>
        <w:t xml:space="preserve"> (pagal bylos aplinkybes, kai pareiškėją sustabdė policijos pareigūnai, prieš patikrinimą alkotesteriu, pareiškėjo teigimu, jis įsipurškė į burną kvepalų, nes pusryčiaudamas buvo išgėręs degtinės), </w:t>
      </w:r>
      <w:r w:rsidRPr="00315AA8">
        <w:rPr>
          <w:rFonts w:ascii="Calibri" w:hAnsi="Calibri" w:cs="Calibri"/>
          <w:u w:val="single"/>
        </w:rPr>
        <w:t>neturėjo pagrindo pripažinti, kad pareiškėjas buvo priverstas pakelti valstybės valdžios institucijų klaidas arba kad nacionalinių teismų išvados šiuo klausimu gali būti apibūdinamos kaip akivaizdžiai klaidingos arba savavališkos</w:t>
      </w:r>
      <w:r w:rsidRPr="00315AA8">
        <w:rPr>
          <w:rFonts w:ascii="Calibri" w:hAnsi="Calibri" w:cs="Calibri"/>
        </w:rPr>
        <w:t>.</w:t>
      </w:r>
    </w:p>
    <w:p w14:paraId="67E5C4CA" w14:textId="500C284F" w:rsidR="00246199" w:rsidRPr="00315AA8" w:rsidRDefault="00246199" w:rsidP="00246199">
      <w:pPr>
        <w:tabs>
          <w:tab w:val="left" w:pos="567"/>
        </w:tabs>
        <w:spacing w:after="0" w:line="240" w:lineRule="auto"/>
        <w:ind w:right="-1" w:firstLine="567"/>
        <w:jc w:val="both"/>
        <w:rPr>
          <w:rFonts w:ascii="Calibri" w:hAnsi="Calibri" w:cs="Calibri"/>
        </w:rPr>
      </w:pPr>
      <w:r w:rsidRPr="00315AA8">
        <w:rPr>
          <w:rFonts w:ascii="Calibri" w:hAnsi="Calibri" w:cs="Calibri"/>
        </w:rPr>
        <w:t>Teismas neturėjo pagrindo konstatuoti, kad šios bylos aplinkybėmis ta aplinkybė, kad pareiškėjas pats turėjo padengti savo išlaidas administracinio teisės pažeidimo bylos procese, apribojo jo teisę kreiptis į teismą tiek, kad būtų pažeista pati šios teisės esmė.</w:t>
      </w:r>
    </w:p>
    <w:p w14:paraId="74BB6820" w14:textId="540E9F90" w:rsidR="00246199" w:rsidRDefault="00246199" w:rsidP="00246199">
      <w:pPr>
        <w:tabs>
          <w:tab w:val="left" w:pos="567"/>
        </w:tabs>
        <w:autoSpaceDE w:val="0"/>
        <w:autoSpaceDN w:val="0"/>
        <w:adjustRightInd w:val="0"/>
        <w:spacing w:after="0" w:line="240" w:lineRule="auto"/>
        <w:ind w:right="-1" w:firstLine="567"/>
        <w:jc w:val="both"/>
        <w:rPr>
          <w:rFonts w:cstheme="minorHAnsi"/>
          <w:sz w:val="18"/>
          <w:szCs w:val="18"/>
        </w:rPr>
      </w:pPr>
    </w:p>
    <w:p w14:paraId="54967F4C" w14:textId="568CF9D0" w:rsidR="00246199" w:rsidRPr="00315AA8" w:rsidRDefault="00246199" w:rsidP="00246199">
      <w:pPr>
        <w:tabs>
          <w:tab w:val="left" w:pos="567"/>
        </w:tabs>
        <w:autoSpaceDE w:val="0"/>
        <w:autoSpaceDN w:val="0"/>
        <w:adjustRightInd w:val="0"/>
        <w:spacing w:after="0" w:line="240" w:lineRule="auto"/>
        <w:ind w:right="-1" w:firstLine="567"/>
        <w:jc w:val="both"/>
        <w:rPr>
          <w:rFonts w:ascii="Calibri" w:hAnsi="Calibri" w:cs="Calibri"/>
        </w:rPr>
      </w:pPr>
      <w:r w:rsidRPr="00315AA8">
        <w:rPr>
          <w:rFonts w:ascii="Calibri" w:hAnsi="Calibri" w:cs="Calibri"/>
        </w:rPr>
        <w:t>Išvada: Konvencijos 6 straipsnio 1 dalies pažeidimas nenustatytas (vienbalsiai).</w:t>
      </w:r>
    </w:p>
    <w:p w14:paraId="2C9E6133" w14:textId="77777777" w:rsidR="00246199" w:rsidRPr="00315AA8" w:rsidRDefault="00246199" w:rsidP="00246199">
      <w:pPr>
        <w:pStyle w:val="Betarp"/>
        <w:ind w:right="-1" w:firstLine="567"/>
        <w:jc w:val="both"/>
        <w:rPr>
          <w:rFonts w:ascii="Calibri" w:hAnsi="Calibri" w:cs="Calibri"/>
        </w:rPr>
      </w:pPr>
      <w:r w:rsidRPr="00315AA8">
        <w:rPr>
          <w:rFonts w:ascii="Calibri" w:hAnsi="Calibri" w:cs="Calibri"/>
        </w:rPr>
        <w:t>Pateikta atskiroji nuomonė.</w:t>
      </w:r>
    </w:p>
    <w:p w14:paraId="5303AC28" w14:textId="77777777" w:rsidR="00246199" w:rsidRPr="00315AA8" w:rsidRDefault="00246199" w:rsidP="00246199">
      <w:pPr>
        <w:pStyle w:val="Betarp"/>
        <w:ind w:right="-1" w:firstLine="567"/>
        <w:jc w:val="both"/>
        <w:rPr>
          <w:rFonts w:ascii="Calibri" w:hAnsi="Calibri" w:cs="Calibri"/>
        </w:rPr>
      </w:pPr>
      <w:hyperlink r:id="rId11" w:history="1">
        <w:r w:rsidRPr="00315AA8">
          <w:rPr>
            <w:rStyle w:val="Hipersaitas"/>
            <w:rFonts w:ascii="Calibri" w:hAnsi="Calibri" w:cs="Calibri"/>
          </w:rPr>
          <w:t>Prieiga internete</w:t>
        </w:r>
      </w:hyperlink>
    </w:p>
    <w:p w14:paraId="4E0C1E80" w14:textId="77777777" w:rsidR="00246199" w:rsidRDefault="00246199" w:rsidP="00045B4F">
      <w:pPr>
        <w:pStyle w:val="Betarp"/>
        <w:ind w:right="-1"/>
        <w:rPr>
          <w:rFonts w:cstheme="minorHAnsi"/>
          <w:b/>
          <w:bCs/>
        </w:rPr>
      </w:pPr>
    </w:p>
    <w:p w14:paraId="60F87AD0" w14:textId="77777777" w:rsidR="00296FC7" w:rsidRPr="00315AA8" w:rsidRDefault="00296FC7" w:rsidP="00296FC7">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315AA8">
        <w:rPr>
          <w:rFonts w:ascii="Calibri" w:eastAsia="Times New Roman" w:hAnsi="Calibri" w:cs="Calibri"/>
          <w:b/>
        </w:rPr>
        <w:t xml:space="preserve">Europos Žmogaus Teisių Teismo </w:t>
      </w:r>
      <w:r w:rsidRPr="00315AA8">
        <w:rPr>
          <w:rFonts w:ascii="Calibri" w:hAnsi="Calibri" w:cs="Calibri"/>
          <w:b/>
        </w:rPr>
        <w:t xml:space="preserve">2024 m. balandžio 23 d. </w:t>
      </w:r>
      <w:r w:rsidRPr="00315AA8">
        <w:rPr>
          <w:rFonts w:ascii="Calibri" w:eastAsia="Times New Roman" w:hAnsi="Calibri" w:cs="Calibri"/>
          <w:b/>
        </w:rPr>
        <w:t>sprendimas byloje</w:t>
      </w:r>
    </w:p>
    <w:p w14:paraId="378C5694" w14:textId="0DA00546" w:rsidR="00296FC7" w:rsidRPr="00296FC7" w:rsidRDefault="00296FC7" w:rsidP="00296FC7">
      <w:pPr>
        <w:keepNext/>
        <w:keepLines/>
        <w:spacing w:after="0" w:line="240" w:lineRule="auto"/>
        <w:jc w:val="center"/>
        <w:outlineLvl w:val="1"/>
        <w:rPr>
          <w:rFonts w:ascii="Calibri" w:eastAsia="Times New Roman" w:hAnsi="Calibri" w:cs="Times New Roman"/>
          <w:b/>
          <w:bCs/>
          <w:i/>
          <w:iCs/>
          <w:color w:val="2E74B5"/>
        </w:rPr>
      </w:pPr>
      <w:bookmarkStart w:id="8" w:name="_Toc181709482"/>
      <w:r w:rsidRPr="00296FC7">
        <w:rPr>
          <w:rFonts w:ascii="Calibri" w:eastAsia="Times New Roman" w:hAnsi="Calibri" w:cs="Times New Roman"/>
          <w:b/>
          <w:bCs/>
          <w:i/>
          <w:iCs/>
          <w:color w:val="2E74B5"/>
        </w:rPr>
        <w:t>Sacharuk</w:t>
      </w:r>
      <w:r>
        <w:rPr>
          <w:rFonts w:ascii="Calibri" w:eastAsia="Times New Roman" w:hAnsi="Calibri" w:cs="Times New Roman"/>
          <w:b/>
          <w:bCs/>
          <w:i/>
          <w:iCs/>
          <w:color w:val="2E74B5"/>
        </w:rPr>
        <w:t xml:space="preserve"> </w:t>
      </w:r>
      <w:r w:rsidRPr="00296FC7">
        <w:rPr>
          <w:rFonts w:ascii="Calibri" w:eastAsia="Times New Roman" w:hAnsi="Calibri" w:cs="Times New Roman"/>
          <w:b/>
          <w:bCs/>
          <w:i/>
          <w:iCs/>
          <w:color w:val="2E74B5"/>
        </w:rPr>
        <w:t>prieš Lietuvą</w:t>
      </w:r>
      <w:bookmarkEnd w:id="8"/>
    </w:p>
    <w:p w14:paraId="1DE24BE7" w14:textId="77777777" w:rsidR="00296FC7" w:rsidRPr="00315AA8" w:rsidRDefault="00296FC7" w:rsidP="00296FC7">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315AA8">
        <w:rPr>
          <w:rFonts w:ascii="Calibri" w:eastAsia="Times New Roman" w:hAnsi="Calibri" w:cs="Calibri"/>
          <w:b/>
        </w:rPr>
        <w:t>(pareiškimo Nr. 39300/18, svarbos lygis – 2)</w:t>
      </w:r>
    </w:p>
    <w:p w14:paraId="0D86921F" w14:textId="77777777" w:rsidR="00296FC7" w:rsidRPr="00315AA8" w:rsidRDefault="00296FC7" w:rsidP="00296FC7">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p>
    <w:p w14:paraId="7EA06163" w14:textId="77777777" w:rsidR="00296FC7" w:rsidRPr="00D1081F" w:rsidRDefault="00296FC7" w:rsidP="00296FC7">
      <w:pPr>
        <w:keepNext/>
        <w:keepLines/>
        <w:spacing w:after="0" w:line="240" w:lineRule="auto"/>
        <w:ind w:right="-1" w:firstLine="567"/>
        <w:jc w:val="both"/>
        <w:outlineLvl w:val="2"/>
        <w:rPr>
          <w:rFonts w:ascii="Calibri" w:eastAsia="Times New Roman" w:hAnsi="Calibri" w:cs="Calibri"/>
          <w:i/>
          <w:iCs/>
          <w:shd w:val="clear" w:color="auto" w:fill="FFFFFF"/>
          <w:lang w:eastAsia="lt-LT"/>
        </w:rPr>
      </w:pPr>
      <w:bookmarkStart w:id="9" w:name="_Toc181709483"/>
      <w:r w:rsidRPr="00315AA8">
        <w:rPr>
          <w:rFonts w:ascii="Calibri" w:eastAsia="Times New Roman" w:hAnsi="Calibri" w:cs="Calibri"/>
          <w:i/>
          <w:iCs/>
          <w:shd w:val="clear" w:color="auto" w:fill="FFFFFF"/>
          <w:lang w:eastAsia="lt-LT"/>
        </w:rPr>
        <w:t xml:space="preserve">Dėl </w:t>
      </w:r>
      <w:r>
        <w:rPr>
          <w:rFonts w:ascii="Calibri" w:eastAsia="Times New Roman" w:hAnsi="Calibri" w:cs="Calibri"/>
          <w:i/>
          <w:iCs/>
          <w:shd w:val="clear" w:color="auto" w:fill="FFFFFF"/>
          <w:lang w:eastAsia="lt-LT"/>
        </w:rPr>
        <w:t xml:space="preserve">teisėjo šališkumo, antrą kartą dalyvaujant pareiškėjo baudžiamosios bylos nagrinėjime ir esant duomenų, kad teisėjas </w:t>
      </w:r>
      <w:r w:rsidRPr="00D1081F">
        <w:rPr>
          <w:rFonts w:ascii="Calibri" w:eastAsia="Times New Roman" w:hAnsi="Calibri" w:cs="Calibri"/>
          <w:i/>
          <w:iCs/>
          <w:shd w:val="clear" w:color="auto" w:fill="FFFFFF"/>
          <w:lang w:eastAsia="lt-LT"/>
        </w:rPr>
        <w:t>galėjo susidaryti išankstinę nuomonę dėl pareišk</w:t>
      </w:r>
      <w:r>
        <w:rPr>
          <w:rFonts w:ascii="Calibri" w:eastAsia="Times New Roman" w:hAnsi="Calibri" w:cs="Calibri"/>
          <w:i/>
          <w:iCs/>
          <w:shd w:val="clear" w:color="auto" w:fill="FFFFFF"/>
          <w:lang w:eastAsia="lt-LT"/>
        </w:rPr>
        <w:t>ė</w:t>
      </w:r>
      <w:r w:rsidRPr="00D1081F">
        <w:rPr>
          <w:rFonts w:ascii="Calibri" w:eastAsia="Times New Roman" w:hAnsi="Calibri" w:cs="Calibri"/>
          <w:i/>
          <w:iCs/>
          <w:shd w:val="clear" w:color="auto" w:fill="FFFFFF"/>
          <w:lang w:eastAsia="lt-LT"/>
        </w:rPr>
        <w:t>jo kaltės</w:t>
      </w:r>
      <w:bookmarkEnd w:id="9"/>
    </w:p>
    <w:p w14:paraId="69C500A8" w14:textId="77777777" w:rsidR="00296FC7" w:rsidRPr="00315AA8" w:rsidRDefault="00296FC7" w:rsidP="00296FC7">
      <w:pPr>
        <w:spacing w:after="0" w:line="240" w:lineRule="auto"/>
        <w:ind w:right="-1"/>
        <w:rPr>
          <w:rFonts w:ascii="Calibri" w:eastAsia="Times New Roman" w:hAnsi="Calibri" w:cs="Calibri"/>
          <w:b/>
          <w:color w:val="323E4F" w:themeColor="text2" w:themeShade="BF"/>
        </w:rPr>
      </w:pPr>
    </w:p>
    <w:p w14:paraId="45B72A3D" w14:textId="77777777" w:rsidR="00296FC7" w:rsidRPr="00315AA8" w:rsidRDefault="00296FC7" w:rsidP="00296FC7">
      <w:pPr>
        <w:spacing w:after="0" w:line="240" w:lineRule="auto"/>
        <w:ind w:right="-1"/>
        <w:jc w:val="center"/>
        <w:rPr>
          <w:rFonts w:ascii="Calibri" w:hAnsi="Calibri" w:cs="Calibri"/>
          <w:b/>
        </w:rPr>
      </w:pPr>
      <w:r w:rsidRPr="00315AA8">
        <w:rPr>
          <w:rFonts w:ascii="Calibri" w:hAnsi="Calibri" w:cs="Calibri"/>
          <w:b/>
        </w:rPr>
        <w:t>Faktinės aplinkybės</w:t>
      </w:r>
    </w:p>
    <w:p w14:paraId="1EDC2DA5" w14:textId="77777777" w:rsidR="00296FC7" w:rsidRPr="00315AA8" w:rsidRDefault="00296FC7" w:rsidP="00296FC7">
      <w:pPr>
        <w:spacing w:after="0" w:line="240" w:lineRule="auto"/>
        <w:ind w:right="-1" w:firstLine="567"/>
        <w:jc w:val="center"/>
        <w:rPr>
          <w:rFonts w:ascii="Calibri" w:hAnsi="Calibri" w:cs="Calibri"/>
          <w:b/>
        </w:rPr>
      </w:pPr>
    </w:p>
    <w:p w14:paraId="7FCFD15A" w14:textId="77777777" w:rsidR="00296FC7" w:rsidRDefault="00296FC7" w:rsidP="00296FC7">
      <w:pPr>
        <w:spacing w:after="0" w:line="240" w:lineRule="auto"/>
        <w:ind w:right="-1" w:firstLine="567"/>
        <w:jc w:val="both"/>
        <w:rPr>
          <w:rFonts w:ascii="Calibri" w:hAnsi="Calibri" w:cs="Calibri"/>
        </w:rPr>
      </w:pPr>
      <w:r w:rsidRPr="00315AA8">
        <w:rPr>
          <w:rFonts w:ascii="Calibri" w:hAnsi="Calibri" w:cs="Calibri"/>
        </w:rPr>
        <w:t>Pareiškėja</w:t>
      </w:r>
      <w:r>
        <w:rPr>
          <w:rFonts w:ascii="Calibri" w:hAnsi="Calibri" w:cs="Calibri"/>
        </w:rPr>
        <w:t>s, vadovaudamasis Konvencijos 6 straipsnio 1 dalimi, skundėsi, kad Lietuvos Aukščiausiojo Teismo teisėjų kolegija, patvirtinusi jo apkaltinamąjį nuosprendį,</w:t>
      </w:r>
      <w:r w:rsidRPr="00315AA8">
        <w:rPr>
          <w:rFonts w:ascii="Calibri" w:hAnsi="Calibri" w:cs="Calibri"/>
        </w:rPr>
        <w:t xml:space="preserve"> </w:t>
      </w:r>
      <w:r>
        <w:rPr>
          <w:rFonts w:ascii="Calibri" w:hAnsi="Calibri" w:cs="Calibri"/>
        </w:rPr>
        <w:t>buvo šališka, taip pat, vadovaudamasis Konvencijos 7 straipsniu, teigė, kad jo nuteisimo nebuvo galima numatyti.</w:t>
      </w:r>
    </w:p>
    <w:p w14:paraId="629F75A9" w14:textId="77777777" w:rsidR="00296FC7" w:rsidRDefault="00296FC7" w:rsidP="00296FC7">
      <w:pPr>
        <w:spacing w:after="0" w:line="240" w:lineRule="auto"/>
        <w:ind w:right="-1" w:firstLine="567"/>
        <w:jc w:val="both"/>
        <w:rPr>
          <w:rFonts w:ascii="Calibri" w:hAnsi="Calibri" w:cs="Calibri"/>
        </w:rPr>
      </w:pPr>
      <w:r>
        <w:rPr>
          <w:rFonts w:ascii="Calibri" w:hAnsi="Calibri" w:cs="Calibri"/>
        </w:rPr>
        <w:t>Pareiškėjas buvo išrinktas į Lietuvos Respublikos Seimą ir 2008 m. lapkričio 18 d.–2012 m. lapkričio 16 d. buvo Seimo nariu. Pareiškėjas nuo 2010 m. sausio 14 d. iki 19 d. kelis kartus naudojosi kito Seimo nario L. K. asmens tapatybės kortele, balsuodamas vietoj jo elektroniniu būdu, šiam dėl atostogų Pietryčių Azijoje neatvykus į Seimo posėdžius.</w:t>
      </w:r>
    </w:p>
    <w:p w14:paraId="1A71B9ED" w14:textId="07E63D7F" w:rsidR="00296FC7" w:rsidRDefault="00296FC7" w:rsidP="00296FC7">
      <w:pPr>
        <w:spacing w:after="0" w:line="240" w:lineRule="auto"/>
        <w:ind w:right="-1" w:firstLine="567"/>
        <w:jc w:val="both"/>
        <w:rPr>
          <w:rFonts w:ascii="Calibri" w:hAnsi="Calibri" w:cs="Calibri"/>
        </w:rPr>
      </w:pPr>
      <w:r>
        <w:rPr>
          <w:rFonts w:ascii="Calibri" w:hAnsi="Calibri" w:cs="Calibri"/>
        </w:rPr>
        <w:t xml:space="preserve">Dėl šių aplinkybių buvo pradėtas pareiškėjo apkaltos procesas. Lietuvos Respublikos Konstitucinis Teismas </w:t>
      </w:r>
      <w:r w:rsidRPr="00677605">
        <w:rPr>
          <w:rFonts w:ascii="Calibri" w:hAnsi="Calibri" w:cs="Calibri"/>
        </w:rPr>
        <w:t>2010 m. spalio 27 d. pateikė išvadą, kuri</w:t>
      </w:r>
      <w:r>
        <w:rPr>
          <w:rFonts w:ascii="Calibri" w:hAnsi="Calibri" w:cs="Calibri"/>
        </w:rPr>
        <w:t>oje</w:t>
      </w:r>
      <w:r w:rsidRPr="00677605">
        <w:rPr>
          <w:rFonts w:ascii="Calibri" w:hAnsi="Calibri" w:cs="Calibri"/>
        </w:rPr>
        <w:t xml:space="preserve"> konstatavo, kad tiek pareiškėjas, tiek L. K. </w:t>
      </w:r>
      <w:r>
        <w:rPr>
          <w:rFonts w:ascii="Calibri" w:hAnsi="Calibri" w:cs="Calibri"/>
        </w:rPr>
        <w:t xml:space="preserve">savo veiksmais </w:t>
      </w:r>
      <w:r w:rsidRPr="00677605">
        <w:rPr>
          <w:rFonts w:ascii="Calibri" w:hAnsi="Calibri" w:cs="Calibri"/>
        </w:rPr>
        <w:t>sulaužė parlamentaro priesaiką ir šiurkščiai pažeidė</w:t>
      </w:r>
      <w:r>
        <w:rPr>
          <w:rFonts w:ascii="Calibri" w:hAnsi="Calibri" w:cs="Calibri"/>
        </w:rPr>
        <w:t xml:space="preserve"> </w:t>
      </w:r>
      <w:r w:rsidRPr="00677605">
        <w:rPr>
          <w:rFonts w:ascii="Calibri" w:hAnsi="Calibri" w:cs="Calibri"/>
        </w:rPr>
        <w:t xml:space="preserve">Konstituciją </w:t>
      </w:r>
      <w:r>
        <w:rPr>
          <w:rFonts w:ascii="Calibri" w:hAnsi="Calibri" w:cs="Calibri"/>
        </w:rPr>
        <w:t>(</w:t>
      </w:r>
      <w:r w:rsidRPr="00677605">
        <w:rPr>
          <w:rFonts w:ascii="Calibri" w:hAnsi="Calibri" w:cs="Calibri"/>
        </w:rPr>
        <w:t>pareiškėjas pasinaudojo L. K. parlamentaro asmens tapatybės kortele ir 2010 m. sausio 14 d. ir 19 d. aštuonis kartus tyčia (sąmoningai) balsavo vietoj jo, o L. K. išvyk</w:t>
      </w:r>
      <w:r>
        <w:rPr>
          <w:rFonts w:ascii="Calibri" w:hAnsi="Calibri" w:cs="Calibri"/>
        </w:rPr>
        <w:t>o</w:t>
      </w:r>
      <w:r w:rsidRPr="00677605">
        <w:rPr>
          <w:rFonts w:ascii="Calibri" w:hAnsi="Calibri" w:cs="Calibri"/>
        </w:rPr>
        <w:t xml:space="preserve"> į kelionę į užsienį ir dėl to be </w:t>
      </w:r>
      <w:r>
        <w:rPr>
          <w:rFonts w:ascii="Calibri" w:hAnsi="Calibri" w:cs="Calibri"/>
        </w:rPr>
        <w:t xml:space="preserve">pateisinamos </w:t>
      </w:r>
      <w:r w:rsidRPr="00677605">
        <w:rPr>
          <w:rFonts w:ascii="Calibri" w:hAnsi="Calibri" w:cs="Calibri"/>
        </w:rPr>
        <w:t>priežasties neatvyk</w:t>
      </w:r>
      <w:r>
        <w:rPr>
          <w:rFonts w:ascii="Calibri" w:hAnsi="Calibri" w:cs="Calibri"/>
        </w:rPr>
        <w:t>o</w:t>
      </w:r>
      <w:r w:rsidRPr="00677605">
        <w:rPr>
          <w:rFonts w:ascii="Calibri" w:hAnsi="Calibri" w:cs="Calibri"/>
        </w:rPr>
        <w:t xml:space="preserve"> į 2010</w:t>
      </w:r>
      <w:r>
        <w:rPr>
          <w:rFonts w:ascii="Calibri" w:hAnsi="Calibri" w:cs="Calibri"/>
        </w:rPr>
        <w:t> </w:t>
      </w:r>
      <w:r w:rsidRPr="00677605">
        <w:rPr>
          <w:rFonts w:ascii="Calibri" w:hAnsi="Calibri" w:cs="Calibri"/>
        </w:rPr>
        <w:t>m. sausio 13, 14, 19, 20</w:t>
      </w:r>
      <w:r w:rsidR="00531389">
        <w:rPr>
          <w:rFonts w:ascii="Calibri" w:hAnsi="Calibri" w:cs="Calibri"/>
        </w:rPr>
        <w:t xml:space="preserve"> </w:t>
      </w:r>
      <w:r w:rsidRPr="00677605">
        <w:rPr>
          <w:rFonts w:ascii="Calibri" w:hAnsi="Calibri" w:cs="Calibri"/>
        </w:rPr>
        <w:t xml:space="preserve">ir </w:t>
      </w:r>
      <w:r w:rsidRPr="00677605">
        <w:rPr>
          <w:rFonts w:ascii="Calibri" w:hAnsi="Calibri" w:cs="Calibri"/>
        </w:rPr>
        <w:lastRenderedPageBreak/>
        <w:t>21</w:t>
      </w:r>
      <w:r w:rsidR="00531389">
        <w:rPr>
          <w:rFonts w:ascii="Calibri" w:hAnsi="Calibri" w:cs="Calibri"/>
        </w:rPr>
        <w:t> </w:t>
      </w:r>
      <w:r w:rsidRPr="00677605">
        <w:rPr>
          <w:rFonts w:ascii="Calibri" w:hAnsi="Calibri" w:cs="Calibri"/>
        </w:rPr>
        <w:t>d. vykusius Seimo plenarinius posėdžius bei 2010 m. sausio 15 ir 20 d.</w:t>
      </w:r>
      <w:r>
        <w:rPr>
          <w:rFonts w:ascii="Calibri" w:hAnsi="Calibri" w:cs="Calibri"/>
        </w:rPr>
        <w:t xml:space="preserve"> </w:t>
      </w:r>
      <w:r w:rsidRPr="00677605">
        <w:rPr>
          <w:rFonts w:ascii="Calibri" w:hAnsi="Calibri" w:cs="Calibri"/>
        </w:rPr>
        <w:t xml:space="preserve">Seimo </w:t>
      </w:r>
      <w:r>
        <w:rPr>
          <w:rFonts w:ascii="Calibri" w:hAnsi="Calibri" w:cs="Calibri"/>
        </w:rPr>
        <w:t xml:space="preserve">sveikatos reikalų </w:t>
      </w:r>
      <w:r w:rsidRPr="00677605">
        <w:rPr>
          <w:rFonts w:ascii="Calibri" w:hAnsi="Calibri" w:cs="Calibri"/>
        </w:rPr>
        <w:t>komiteto posėdžius</w:t>
      </w:r>
      <w:r>
        <w:rPr>
          <w:rFonts w:ascii="Calibri" w:hAnsi="Calibri" w:cs="Calibri"/>
        </w:rPr>
        <w:t>)</w:t>
      </w:r>
      <w:r w:rsidRPr="00677605">
        <w:rPr>
          <w:rFonts w:ascii="Calibri" w:hAnsi="Calibri" w:cs="Calibri"/>
        </w:rPr>
        <w:t>.</w:t>
      </w:r>
    </w:p>
    <w:p w14:paraId="17F6714C" w14:textId="77777777" w:rsidR="00296FC7" w:rsidRDefault="00296FC7" w:rsidP="00296FC7">
      <w:pPr>
        <w:spacing w:after="0" w:line="240" w:lineRule="auto"/>
        <w:ind w:right="-1" w:firstLine="567"/>
        <w:jc w:val="both"/>
        <w:rPr>
          <w:rFonts w:ascii="Calibri" w:hAnsi="Calibri" w:cs="Calibri"/>
        </w:rPr>
      </w:pPr>
      <w:r w:rsidRPr="007734EC">
        <w:rPr>
          <w:rFonts w:ascii="Calibri" w:hAnsi="Calibri" w:cs="Calibri"/>
        </w:rPr>
        <w:t>Seimas 2010 m. lapkričio 11 d. balsavo dėl siūlymo panaikinti pareiškėjo ir L. K. Seimo nario mandatus už šiurkštų Konstitucij</w:t>
      </w:r>
      <w:r>
        <w:rPr>
          <w:rFonts w:ascii="Calibri" w:hAnsi="Calibri" w:cs="Calibri"/>
        </w:rPr>
        <w:t>os pažeidimą</w:t>
      </w:r>
      <w:r w:rsidRPr="007734EC">
        <w:rPr>
          <w:rFonts w:ascii="Calibri" w:hAnsi="Calibri" w:cs="Calibri"/>
        </w:rPr>
        <w:t xml:space="preserve"> ir Seimo nario priesaikos sulaužym</w:t>
      </w:r>
      <w:r>
        <w:rPr>
          <w:rFonts w:ascii="Calibri" w:hAnsi="Calibri" w:cs="Calibri"/>
        </w:rPr>
        <w:t>ą</w:t>
      </w:r>
      <w:r w:rsidRPr="007734EC">
        <w:rPr>
          <w:rFonts w:ascii="Calibri" w:hAnsi="Calibri" w:cs="Calibri"/>
        </w:rPr>
        <w:t>.</w:t>
      </w:r>
      <w:r>
        <w:rPr>
          <w:rFonts w:ascii="Calibri" w:hAnsi="Calibri" w:cs="Calibri"/>
        </w:rPr>
        <w:t xml:space="preserve"> Tam, k</w:t>
      </w:r>
      <w:r w:rsidRPr="007734EC">
        <w:rPr>
          <w:rFonts w:ascii="Calibri" w:hAnsi="Calibri" w:cs="Calibri"/>
        </w:rPr>
        <w:t xml:space="preserve">ad mandatas būtų panaikintas, reikėjo aštuoniasdešimt penkių balsų, </w:t>
      </w:r>
      <w:r>
        <w:rPr>
          <w:rFonts w:ascii="Calibri" w:hAnsi="Calibri" w:cs="Calibri"/>
        </w:rPr>
        <w:t>t. y.</w:t>
      </w:r>
      <w:r w:rsidRPr="007734EC">
        <w:rPr>
          <w:rFonts w:ascii="Calibri" w:hAnsi="Calibri" w:cs="Calibri"/>
        </w:rPr>
        <w:t xml:space="preserve"> ne mažiau kaip trijų penktadalių visų Seimo narių balsų. Už pareiškėjo mandato panaikinimą balsavo taip: aštuoniasdešimt balsų už, dvidešimt</w:t>
      </w:r>
      <w:r>
        <w:rPr>
          <w:rFonts w:ascii="Calibri" w:hAnsi="Calibri" w:cs="Calibri"/>
        </w:rPr>
        <w:t xml:space="preserve"> </w:t>
      </w:r>
      <w:r w:rsidRPr="007734EC">
        <w:rPr>
          <w:rFonts w:ascii="Calibri" w:hAnsi="Calibri" w:cs="Calibri"/>
        </w:rPr>
        <w:t xml:space="preserve">keturi prieš, trylika susilaikė ir trylika </w:t>
      </w:r>
      <w:r>
        <w:rPr>
          <w:rFonts w:ascii="Calibri" w:hAnsi="Calibri" w:cs="Calibri"/>
        </w:rPr>
        <w:t>biuletenių buvo sugadinta</w:t>
      </w:r>
      <w:r w:rsidRPr="007734EC">
        <w:rPr>
          <w:rFonts w:ascii="Calibri" w:hAnsi="Calibri" w:cs="Calibri"/>
        </w:rPr>
        <w:t xml:space="preserve">. Taigi pareiškėjas </w:t>
      </w:r>
      <w:r>
        <w:rPr>
          <w:rFonts w:ascii="Calibri" w:hAnsi="Calibri" w:cs="Calibri"/>
        </w:rPr>
        <w:t>išsaugojo</w:t>
      </w:r>
      <w:r w:rsidRPr="007734EC">
        <w:rPr>
          <w:rFonts w:ascii="Calibri" w:hAnsi="Calibri" w:cs="Calibri"/>
        </w:rPr>
        <w:t xml:space="preserve"> savo mandatą.</w:t>
      </w:r>
      <w:r>
        <w:rPr>
          <w:rFonts w:ascii="Calibri" w:hAnsi="Calibri" w:cs="Calibri"/>
        </w:rPr>
        <w:t xml:space="preserve"> </w:t>
      </w:r>
      <w:r w:rsidRPr="007734EC">
        <w:rPr>
          <w:rFonts w:ascii="Calibri" w:hAnsi="Calibri" w:cs="Calibri"/>
        </w:rPr>
        <w:t>Seimas L. K. mandatą panaikino aštuoniasdešimt devyniais balsais „už“.</w:t>
      </w:r>
    </w:p>
    <w:p w14:paraId="64652CED" w14:textId="5E76D892" w:rsidR="00296FC7" w:rsidRDefault="00296FC7" w:rsidP="00296FC7">
      <w:pPr>
        <w:spacing w:after="0" w:line="240" w:lineRule="auto"/>
        <w:ind w:right="-1" w:firstLine="567"/>
        <w:jc w:val="both"/>
        <w:rPr>
          <w:rFonts w:ascii="Calibri" w:hAnsi="Calibri" w:cs="Calibri"/>
        </w:rPr>
      </w:pPr>
      <w:r>
        <w:rPr>
          <w:rFonts w:ascii="Calibri" w:hAnsi="Calibri" w:cs="Calibri"/>
        </w:rPr>
        <w:t xml:space="preserve">2011 m. Seimas papildė Baudžiamojo proceso kodeksą nauja nuostata – 32 straipsniu, leidžiančiu patraukti baudžiamojon atsakomybėn asmenis, praradusius imunitetą. </w:t>
      </w:r>
      <w:r w:rsidR="00AC5344" w:rsidRPr="00694167">
        <w:rPr>
          <w:rFonts w:eastAsia="Calibri"/>
        </w:rPr>
        <w:t xml:space="preserve">Pasibaigus pareiškėjo (Seimo nario) kadencijai ir praradus imunitetą (pagal ankstesnį generalinio prokuroro prašymą Seimas nepanaikino pareiškėjo imuniteto), Generalinė prokuratūra pradėjo pareiškėjo ikiteisminį tyrimą dėl kaltinimų pagal Baudžiamojo kodekso 228 straipsnio </w:t>
      </w:r>
      <w:r w:rsidR="00AC5344">
        <w:rPr>
          <w:rFonts w:eastAsia="Calibri"/>
        </w:rPr>
        <w:t xml:space="preserve">„Piktnaudžiavimas“ </w:t>
      </w:r>
      <w:r w:rsidR="00AC5344" w:rsidRPr="00694167">
        <w:rPr>
          <w:rFonts w:eastAsia="Calibri"/>
        </w:rPr>
        <w:t xml:space="preserve">1 dalį, 300 straipsnio </w:t>
      </w:r>
      <w:r w:rsidR="00AC5344">
        <w:rPr>
          <w:rFonts w:eastAsia="Calibri"/>
        </w:rPr>
        <w:t>„</w:t>
      </w:r>
      <w:r w:rsidR="00AC5344" w:rsidRPr="004925CC">
        <w:rPr>
          <w:rFonts w:eastAsia="Calibri"/>
        </w:rPr>
        <w:t>Dokumento suklastojimas ar disponavimas suklastotu dokumentu</w:t>
      </w:r>
      <w:r w:rsidR="00AC5344">
        <w:rPr>
          <w:rFonts w:eastAsia="Calibri"/>
        </w:rPr>
        <w:t>“</w:t>
      </w:r>
      <w:r w:rsidR="00AC5344" w:rsidRPr="00694167">
        <w:rPr>
          <w:rFonts w:eastAsia="Calibri"/>
        </w:rPr>
        <w:t xml:space="preserve"> 3 dalį ir 202 straipsnio </w:t>
      </w:r>
      <w:r w:rsidR="00AC5344">
        <w:rPr>
          <w:rFonts w:eastAsia="Calibri"/>
        </w:rPr>
        <w:t>„</w:t>
      </w:r>
      <w:r w:rsidR="00AC5344" w:rsidRPr="004925CC">
        <w:rPr>
          <w:rFonts w:eastAsia="Calibri"/>
        </w:rPr>
        <w:t>Neteisėtas vertimasis ūkine, komercine, finansine ar profesine veikla</w:t>
      </w:r>
      <w:r w:rsidR="00AC5344">
        <w:rPr>
          <w:rFonts w:eastAsia="Calibri"/>
        </w:rPr>
        <w:t>“</w:t>
      </w:r>
      <w:r w:rsidR="00AC5344" w:rsidRPr="00694167">
        <w:rPr>
          <w:rFonts w:eastAsia="Calibri"/>
        </w:rPr>
        <w:t xml:space="preserve"> 2 dalį.</w:t>
      </w:r>
    </w:p>
    <w:p w14:paraId="18796268" w14:textId="26D1DCF9" w:rsidR="00296FC7" w:rsidRDefault="00296FC7" w:rsidP="00296FC7">
      <w:pPr>
        <w:spacing w:after="0" w:line="240" w:lineRule="auto"/>
        <w:ind w:right="-1" w:firstLine="567"/>
        <w:jc w:val="both"/>
        <w:rPr>
          <w:rFonts w:ascii="Calibri" w:hAnsi="Calibri" w:cs="Calibri"/>
        </w:rPr>
      </w:pPr>
      <w:r w:rsidRPr="00CA76DF">
        <w:rPr>
          <w:rFonts w:ascii="Calibri" w:hAnsi="Calibri" w:cs="Calibri"/>
        </w:rPr>
        <w:t>Vilniaus apygardos teismas 2015 m. liepos 20 d. nuosprendžiu pareiškėją išteisino dėl visų trijų baudžiamųjų kaltinimų. Šį sprendimą apeliacinės instancijos teismas 2016 m. gegužės 23 d.</w:t>
      </w:r>
      <w:r>
        <w:rPr>
          <w:rFonts w:ascii="Calibri" w:hAnsi="Calibri" w:cs="Calibri"/>
        </w:rPr>
        <w:t xml:space="preserve"> </w:t>
      </w:r>
      <w:r w:rsidRPr="00CA76DF">
        <w:rPr>
          <w:rFonts w:ascii="Calibri" w:hAnsi="Calibri" w:cs="Calibri"/>
        </w:rPr>
        <w:t>paliko galioti</w:t>
      </w:r>
      <w:r>
        <w:rPr>
          <w:rFonts w:ascii="Calibri" w:hAnsi="Calibri" w:cs="Calibri"/>
        </w:rPr>
        <w:t>.</w:t>
      </w:r>
      <w:r w:rsidRPr="00CA76DF">
        <w:rPr>
          <w:rFonts w:ascii="Calibri" w:hAnsi="Calibri" w:cs="Calibri"/>
        </w:rPr>
        <w:t xml:space="preserve"> </w:t>
      </w:r>
    </w:p>
    <w:p w14:paraId="03C0EF40" w14:textId="77777777" w:rsidR="00296FC7" w:rsidRDefault="00296FC7" w:rsidP="00296FC7">
      <w:pPr>
        <w:spacing w:after="0" w:line="240" w:lineRule="auto"/>
        <w:ind w:right="-1" w:firstLine="567"/>
        <w:jc w:val="both"/>
        <w:rPr>
          <w:rFonts w:ascii="Calibri" w:hAnsi="Calibri" w:cs="Calibri"/>
        </w:rPr>
      </w:pPr>
      <w:r>
        <w:rPr>
          <w:rFonts w:ascii="Calibri" w:hAnsi="Calibri" w:cs="Calibri"/>
        </w:rPr>
        <w:t>P</w:t>
      </w:r>
      <w:r w:rsidRPr="00CA76DF">
        <w:rPr>
          <w:rFonts w:ascii="Calibri" w:hAnsi="Calibri" w:cs="Calibri"/>
        </w:rPr>
        <w:t>rokuro</w:t>
      </w:r>
      <w:r>
        <w:rPr>
          <w:rFonts w:ascii="Calibri" w:hAnsi="Calibri" w:cs="Calibri"/>
        </w:rPr>
        <w:t>rui pateikus</w:t>
      </w:r>
      <w:r w:rsidRPr="00CA76DF">
        <w:rPr>
          <w:rFonts w:ascii="Calibri" w:hAnsi="Calibri" w:cs="Calibri"/>
        </w:rPr>
        <w:t xml:space="preserve"> </w:t>
      </w:r>
      <w:r>
        <w:rPr>
          <w:rFonts w:ascii="Calibri" w:hAnsi="Calibri" w:cs="Calibri"/>
        </w:rPr>
        <w:t>kasacinį skundą,</w:t>
      </w:r>
      <w:r w:rsidRPr="00CA76DF">
        <w:rPr>
          <w:rFonts w:ascii="Calibri" w:hAnsi="Calibri" w:cs="Calibri"/>
        </w:rPr>
        <w:t xml:space="preserve"> 2016 m. gruodžio 20 d. </w:t>
      </w:r>
      <w:r>
        <w:rPr>
          <w:rFonts w:ascii="Calibri" w:hAnsi="Calibri" w:cs="Calibri"/>
        </w:rPr>
        <w:t xml:space="preserve">Lietuvos </w:t>
      </w:r>
      <w:r w:rsidRPr="00CA76DF">
        <w:rPr>
          <w:rFonts w:ascii="Calibri" w:hAnsi="Calibri" w:cs="Calibri"/>
        </w:rPr>
        <w:t>Aukščiausiojo Teismo trijų teisėjų kolegija, sudaryta iš teisėjų D.</w:t>
      </w:r>
      <w:r>
        <w:rPr>
          <w:rFonts w:ascii="Calibri" w:hAnsi="Calibri" w:cs="Calibri"/>
        </w:rPr>
        <w:t xml:space="preserve"> </w:t>
      </w:r>
      <w:r w:rsidRPr="00CA76DF">
        <w:rPr>
          <w:rFonts w:ascii="Calibri" w:hAnsi="Calibri" w:cs="Calibri"/>
        </w:rPr>
        <w:t>B. (pirminink</w:t>
      </w:r>
      <w:r>
        <w:rPr>
          <w:rFonts w:ascii="Calibri" w:hAnsi="Calibri" w:cs="Calibri"/>
        </w:rPr>
        <w:t>ė</w:t>
      </w:r>
      <w:r w:rsidRPr="00CA76DF">
        <w:rPr>
          <w:rFonts w:ascii="Calibri" w:hAnsi="Calibri" w:cs="Calibri"/>
        </w:rPr>
        <w:t>), A.</w:t>
      </w:r>
      <w:r>
        <w:rPr>
          <w:rFonts w:ascii="Calibri" w:hAnsi="Calibri" w:cs="Calibri"/>
        </w:rPr>
        <w:t xml:space="preserve"> </w:t>
      </w:r>
      <w:r w:rsidRPr="00CA76DF">
        <w:rPr>
          <w:rFonts w:ascii="Calibri" w:hAnsi="Calibri" w:cs="Calibri"/>
        </w:rPr>
        <w:t>K. ir V.</w:t>
      </w:r>
      <w:r>
        <w:rPr>
          <w:rFonts w:ascii="Calibri" w:hAnsi="Calibri" w:cs="Calibri"/>
        </w:rPr>
        <w:t xml:space="preserve"> </w:t>
      </w:r>
      <w:r w:rsidRPr="00CA76DF">
        <w:rPr>
          <w:rFonts w:ascii="Calibri" w:hAnsi="Calibri" w:cs="Calibri"/>
        </w:rPr>
        <w:t>P. (teisėjas pranešėjas), žodinio posėdžio metu panaikino apeliacinės instancijos teismo nutartį ir grąžino bylą nagrinėti iš naujo.</w:t>
      </w:r>
    </w:p>
    <w:p w14:paraId="1BA717F5" w14:textId="77777777" w:rsidR="00296FC7" w:rsidRDefault="00296FC7" w:rsidP="00296FC7">
      <w:pPr>
        <w:spacing w:after="0" w:line="240" w:lineRule="auto"/>
        <w:ind w:right="-1" w:firstLine="567"/>
        <w:jc w:val="both"/>
        <w:rPr>
          <w:rFonts w:ascii="Calibri" w:hAnsi="Calibri" w:cs="Calibri"/>
        </w:rPr>
      </w:pPr>
      <w:r>
        <w:rPr>
          <w:rFonts w:ascii="Calibri" w:hAnsi="Calibri" w:cs="Calibri"/>
        </w:rPr>
        <w:t>Lietuvos a</w:t>
      </w:r>
      <w:r w:rsidRPr="00CA76DF">
        <w:rPr>
          <w:rFonts w:ascii="Calibri" w:hAnsi="Calibri" w:cs="Calibri"/>
        </w:rPr>
        <w:t>peliacinis teismas 2017 m. birželio 5 d. pripažino pareiškėją kaltu dėl piktnaudžiavimo tarnyba pagal Baudžiamojo kodekso 228 straipsnio 1 dalį ir dėl neteisėto dokumento panaudojimo pagal 302</w:t>
      </w:r>
      <w:r>
        <w:rPr>
          <w:rFonts w:ascii="Calibri" w:hAnsi="Calibri" w:cs="Calibri"/>
        </w:rPr>
        <w:t> </w:t>
      </w:r>
      <w:r w:rsidRPr="00CA76DF">
        <w:rPr>
          <w:rFonts w:ascii="Calibri" w:hAnsi="Calibri" w:cs="Calibri"/>
        </w:rPr>
        <w:t xml:space="preserve">straipsnio 1 dalį. Jam skirta 1 882 </w:t>
      </w:r>
      <w:r>
        <w:rPr>
          <w:rFonts w:ascii="Calibri" w:hAnsi="Calibri" w:cs="Calibri"/>
        </w:rPr>
        <w:t>Eur</w:t>
      </w:r>
      <w:r w:rsidRPr="00CA76DF">
        <w:rPr>
          <w:rFonts w:ascii="Calibri" w:hAnsi="Calibri" w:cs="Calibri"/>
        </w:rPr>
        <w:t xml:space="preserve"> bauda. Baudžiamoji byla pagal Baudžiamojo kodekso 300</w:t>
      </w:r>
      <w:r>
        <w:rPr>
          <w:rFonts w:ascii="Calibri" w:hAnsi="Calibri" w:cs="Calibri"/>
        </w:rPr>
        <w:t> </w:t>
      </w:r>
      <w:r w:rsidRPr="00CA76DF">
        <w:rPr>
          <w:rFonts w:ascii="Calibri" w:hAnsi="Calibri" w:cs="Calibri"/>
        </w:rPr>
        <w:t>straipsnio 1 dalį buvo nutraukta suėjus senaties terminui.</w:t>
      </w:r>
    </w:p>
    <w:p w14:paraId="744EE433" w14:textId="77777777" w:rsidR="00296FC7" w:rsidRDefault="00296FC7" w:rsidP="00296FC7">
      <w:pPr>
        <w:spacing w:after="0" w:line="240" w:lineRule="auto"/>
        <w:ind w:right="-1" w:firstLine="567"/>
        <w:jc w:val="both"/>
        <w:rPr>
          <w:rFonts w:ascii="Calibri" w:hAnsi="Calibri" w:cs="Calibri"/>
        </w:rPr>
      </w:pPr>
      <w:r w:rsidRPr="00CA76DF">
        <w:rPr>
          <w:rFonts w:ascii="Calibri" w:hAnsi="Calibri" w:cs="Calibri"/>
        </w:rPr>
        <w:t>2017 m. rugsėjo 26 d.</w:t>
      </w:r>
      <w:r>
        <w:rPr>
          <w:rFonts w:ascii="Calibri" w:hAnsi="Calibri" w:cs="Calibri"/>
        </w:rPr>
        <w:t xml:space="preserve"> Lietuvos</w:t>
      </w:r>
      <w:r w:rsidRPr="00CA76DF">
        <w:rPr>
          <w:rFonts w:ascii="Calibri" w:hAnsi="Calibri" w:cs="Calibri"/>
        </w:rPr>
        <w:t xml:space="preserve"> Aukščiausiojo Teismo atrankos kolegija priėmė nagrinėti</w:t>
      </w:r>
      <w:r>
        <w:rPr>
          <w:rFonts w:ascii="Calibri" w:hAnsi="Calibri" w:cs="Calibri"/>
        </w:rPr>
        <w:t xml:space="preserve"> pareiškėjo kasacinį</w:t>
      </w:r>
      <w:r w:rsidRPr="00CA76DF">
        <w:rPr>
          <w:rFonts w:ascii="Calibri" w:hAnsi="Calibri" w:cs="Calibri"/>
        </w:rPr>
        <w:t xml:space="preserve"> skundą.</w:t>
      </w:r>
      <w:r>
        <w:rPr>
          <w:rFonts w:ascii="Calibri" w:hAnsi="Calibri" w:cs="Calibri"/>
        </w:rPr>
        <w:t xml:space="preserve"> </w:t>
      </w:r>
      <w:r w:rsidRPr="00CA76DF">
        <w:rPr>
          <w:rFonts w:ascii="Calibri" w:hAnsi="Calibri" w:cs="Calibri"/>
        </w:rPr>
        <w:t>Trys teisėjai – A.</w:t>
      </w:r>
      <w:r>
        <w:rPr>
          <w:rFonts w:ascii="Calibri" w:hAnsi="Calibri" w:cs="Calibri"/>
        </w:rPr>
        <w:t xml:space="preserve"> </w:t>
      </w:r>
      <w:r w:rsidRPr="00CA76DF">
        <w:rPr>
          <w:rFonts w:ascii="Calibri" w:hAnsi="Calibri" w:cs="Calibri"/>
        </w:rPr>
        <w:t>R., D.</w:t>
      </w:r>
      <w:r>
        <w:rPr>
          <w:rFonts w:ascii="Calibri" w:hAnsi="Calibri" w:cs="Calibri"/>
        </w:rPr>
        <w:t xml:space="preserve"> </w:t>
      </w:r>
      <w:r w:rsidRPr="00CA76DF">
        <w:rPr>
          <w:rFonts w:ascii="Calibri" w:hAnsi="Calibri" w:cs="Calibri"/>
        </w:rPr>
        <w:t>B. ir A.</w:t>
      </w:r>
      <w:r>
        <w:rPr>
          <w:rFonts w:ascii="Calibri" w:hAnsi="Calibri" w:cs="Calibri"/>
        </w:rPr>
        <w:t xml:space="preserve"> </w:t>
      </w:r>
      <w:r w:rsidRPr="00CA76DF">
        <w:rPr>
          <w:rFonts w:ascii="Calibri" w:hAnsi="Calibri" w:cs="Calibri"/>
        </w:rPr>
        <w:t xml:space="preserve">A. – pasirašė </w:t>
      </w:r>
      <w:r>
        <w:rPr>
          <w:rFonts w:ascii="Calibri" w:hAnsi="Calibri" w:cs="Calibri"/>
        </w:rPr>
        <w:t>nutartį</w:t>
      </w:r>
      <w:r w:rsidRPr="00CA76DF">
        <w:rPr>
          <w:rFonts w:ascii="Calibri" w:hAnsi="Calibri" w:cs="Calibri"/>
        </w:rPr>
        <w:t>.</w:t>
      </w:r>
    </w:p>
    <w:p w14:paraId="11955C56" w14:textId="5C16F9E6" w:rsidR="00296FC7" w:rsidRDefault="00296FC7" w:rsidP="00296FC7">
      <w:pPr>
        <w:spacing w:after="0" w:line="240" w:lineRule="auto"/>
        <w:ind w:right="-1" w:firstLine="567"/>
        <w:jc w:val="both"/>
        <w:rPr>
          <w:rFonts w:ascii="Calibri" w:hAnsi="Calibri" w:cs="Calibri"/>
        </w:rPr>
      </w:pPr>
      <w:r w:rsidRPr="00CA76DF">
        <w:rPr>
          <w:rFonts w:ascii="Calibri" w:hAnsi="Calibri" w:cs="Calibri"/>
        </w:rPr>
        <w:t>2017 m. lapkričio 7 d. teisėja</w:t>
      </w:r>
      <w:r>
        <w:rPr>
          <w:rFonts w:ascii="Calibri" w:hAnsi="Calibri" w:cs="Calibri"/>
        </w:rPr>
        <w:t>s</w:t>
      </w:r>
      <w:r w:rsidRPr="00CA76DF">
        <w:rPr>
          <w:rFonts w:ascii="Calibri" w:hAnsi="Calibri" w:cs="Calibri"/>
        </w:rPr>
        <w:t xml:space="preserve"> V. P. sudarė trijų teisėjų kolegiją – G. J.-G. (teisėja pirminink</w:t>
      </w:r>
      <w:r>
        <w:rPr>
          <w:rFonts w:ascii="Calibri" w:hAnsi="Calibri" w:cs="Calibri"/>
        </w:rPr>
        <w:t>ė)</w:t>
      </w:r>
      <w:r w:rsidRPr="00CA76DF">
        <w:rPr>
          <w:rFonts w:ascii="Calibri" w:hAnsi="Calibri" w:cs="Calibri"/>
        </w:rPr>
        <w:t>, D. B. (teisėja praneš</w:t>
      </w:r>
      <w:r>
        <w:rPr>
          <w:rFonts w:ascii="Calibri" w:hAnsi="Calibri" w:cs="Calibri"/>
        </w:rPr>
        <w:t>ėja</w:t>
      </w:r>
      <w:r w:rsidRPr="00CA76DF">
        <w:rPr>
          <w:rFonts w:ascii="Calibri" w:hAnsi="Calibri" w:cs="Calibri"/>
        </w:rPr>
        <w:t>) ir T. Š. – nagrinėti pareiškėjo bylą.</w:t>
      </w:r>
    </w:p>
    <w:p w14:paraId="2A04009F" w14:textId="77777777" w:rsidR="00296FC7" w:rsidRDefault="00296FC7" w:rsidP="00296FC7">
      <w:pPr>
        <w:spacing w:after="0" w:line="240" w:lineRule="auto"/>
        <w:ind w:right="-1" w:firstLine="567"/>
        <w:jc w:val="both"/>
        <w:rPr>
          <w:rFonts w:ascii="Calibri" w:hAnsi="Calibri" w:cs="Calibri"/>
        </w:rPr>
      </w:pPr>
      <w:r>
        <w:rPr>
          <w:rFonts w:ascii="Calibri" w:hAnsi="Calibri" w:cs="Calibri"/>
        </w:rPr>
        <w:t>2017 m. gruodžio 13 d. teismo posėdžio metu pareiškėjas paprašė pakeisti teisėją D. B. dėl to, kad ji jau prieš metus laiko dalyvavo nagrinėjant pareiškėjo baudžiamąją bylą Lietuvos Aukščiausiajame Teisme. Šį prašymą pareiškėjo atstovai pakartojo 2018 m. sausio 9 d. teismo posėdžio metu.</w:t>
      </w:r>
    </w:p>
    <w:p w14:paraId="7698A222" w14:textId="0BE065FD" w:rsidR="00296FC7" w:rsidRDefault="00296FC7" w:rsidP="00296FC7">
      <w:pPr>
        <w:spacing w:after="0" w:line="240" w:lineRule="auto"/>
        <w:ind w:right="-1" w:firstLine="567"/>
        <w:jc w:val="both"/>
        <w:rPr>
          <w:rFonts w:ascii="Calibri" w:hAnsi="Calibri" w:cs="Calibri"/>
        </w:rPr>
      </w:pPr>
      <w:r>
        <w:rPr>
          <w:rFonts w:ascii="Calibri" w:hAnsi="Calibri" w:cs="Calibri"/>
        </w:rPr>
        <w:t xml:space="preserve">Lietuvos Aukščiausiojo Teismo teisėjų kolegija priėmė protokolinį sprendimą, kuriuo atmetė pareiškėjo prašymą nušalinti teisėją D. B. Konstatuota, kad </w:t>
      </w:r>
      <w:r w:rsidRPr="00602F99">
        <w:rPr>
          <w:rFonts w:ascii="Calibri" w:hAnsi="Calibri" w:cs="Calibri"/>
        </w:rPr>
        <w:t xml:space="preserve">Baudžiamojo proceso kodekso 58 straipsnio 2 dalyje nenustatyti tokie nušalinimo pagrindai, kokius nurodė pareiškėjo </w:t>
      </w:r>
      <w:r>
        <w:rPr>
          <w:rFonts w:ascii="Calibri" w:hAnsi="Calibri" w:cs="Calibri"/>
        </w:rPr>
        <w:t>atstovai</w:t>
      </w:r>
      <w:r w:rsidRPr="00602F99">
        <w:rPr>
          <w:rFonts w:ascii="Calibri" w:hAnsi="Calibri" w:cs="Calibri"/>
        </w:rPr>
        <w:t xml:space="preserve">. Nesant kitų </w:t>
      </w:r>
      <w:r>
        <w:rPr>
          <w:rFonts w:ascii="Calibri" w:hAnsi="Calibri" w:cs="Calibri"/>
        </w:rPr>
        <w:t>pagrindų</w:t>
      </w:r>
      <w:r w:rsidRPr="00602F99">
        <w:rPr>
          <w:rFonts w:ascii="Calibri" w:hAnsi="Calibri" w:cs="Calibri"/>
        </w:rPr>
        <w:t xml:space="preserve"> dėl teisėjo</w:t>
      </w:r>
      <w:r>
        <w:rPr>
          <w:rFonts w:ascii="Calibri" w:hAnsi="Calibri" w:cs="Calibri"/>
        </w:rPr>
        <w:t>s</w:t>
      </w:r>
      <w:r w:rsidRPr="00602F99">
        <w:rPr>
          <w:rFonts w:ascii="Calibri" w:hAnsi="Calibri" w:cs="Calibri"/>
        </w:rPr>
        <w:t xml:space="preserve"> D.</w:t>
      </w:r>
      <w:r w:rsidR="00531389">
        <w:rPr>
          <w:rFonts w:ascii="Calibri" w:hAnsi="Calibri" w:cs="Calibri"/>
        </w:rPr>
        <w:t> </w:t>
      </w:r>
      <w:r w:rsidRPr="00602F99">
        <w:rPr>
          <w:rFonts w:ascii="Calibri" w:hAnsi="Calibri" w:cs="Calibri"/>
        </w:rPr>
        <w:t>B. šališkumo,</w:t>
      </w:r>
      <w:r>
        <w:rPr>
          <w:rFonts w:ascii="Calibri" w:hAnsi="Calibri" w:cs="Calibri"/>
        </w:rPr>
        <w:t xml:space="preserve"> teisėjų</w:t>
      </w:r>
      <w:r w:rsidRPr="00602F99">
        <w:rPr>
          <w:rFonts w:ascii="Calibri" w:hAnsi="Calibri" w:cs="Calibri"/>
        </w:rPr>
        <w:t xml:space="preserve"> kolegija </w:t>
      </w:r>
      <w:r>
        <w:rPr>
          <w:rFonts w:ascii="Calibri" w:hAnsi="Calibri" w:cs="Calibri"/>
        </w:rPr>
        <w:t>vertino</w:t>
      </w:r>
      <w:r w:rsidRPr="00602F99">
        <w:rPr>
          <w:rFonts w:ascii="Calibri" w:hAnsi="Calibri" w:cs="Calibri"/>
        </w:rPr>
        <w:t xml:space="preserve">, kad vien tai, </w:t>
      </w:r>
      <w:r>
        <w:rPr>
          <w:rFonts w:ascii="Calibri" w:hAnsi="Calibri" w:cs="Calibri"/>
        </w:rPr>
        <w:t xml:space="preserve">jog </w:t>
      </w:r>
      <w:r w:rsidRPr="00602F99">
        <w:rPr>
          <w:rFonts w:ascii="Calibri" w:hAnsi="Calibri" w:cs="Calibri"/>
        </w:rPr>
        <w:t>ji dalyvavo ankstesniame kasaciniame procese, nesudaro teisinio pagrindo kelti abejon</w:t>
      </w:r>
      <w:r>
        <w:rPr>
          <w:rFonts w:ascii="Calibri" w:hAnsi="Calibri" w:cs="Calibri"/>
        </w:rPr>
        <w:t>es</w:t>
      </w:r>
      <w:r w:rsidRPr="00602F99">
        <w:rPr>
          <w:rFonts w:ascii="Calibri" w:hAnsi="Calibri" w:cs="Calibri"/>
        </w:rPr>
        <w:t xml:space="preserve"> dėl jos nešališkumo subjektyviuoju</w:t>
      </w:r>
      <w:r>
        <w:rPr>
          <w:rFonts w:ascii="Calibri" w:hAnsi="Calibri" w:cs="Calibri"/>
        </w:rPr>
        <w:t xml:space="preserve"> ir objektyviuoju požiūriu</w:t>
      </w:r>
      <w:r w:rsidRPr="00602F99">
        <w:rPr>
          <w:rFonts w:ascii="Calibri" w:hAnsi="Calibri" w:cs="Calibri"/>
        </w:rPr>
        <w:t>.</w:t>
      </w:r>
    </w:p>
    <w:p w14:paraId="5890F267" w14:textId="77777777" w:rsidR="00296FC7" w:rsidRDefault="00296FC7" w:rsidP="00296FC7">
      <w:pPr>
        <w:spacing w:after="0" w:line="240" w:lineRule="auto"/>
        <w:ind w:right="-1" w:firstLine="567"/>
        <w:jc w:val="both"/>
        <w:rPr>
          <w:rFonts w:ascii="Calibri" w:hAnsi="Calibri" w:cs="Calibri"/>
        </w:rPr>
      </w:pPr>
      <w:r w:rsidRPr="00CB4240">
        <w:rPr>
          <w:rFonts w:ascii="Calibri" w:hAnsi="Calibri" w:cs="Calibri"/>
        </w:rPr>
        <w:t>2018</w:t>
      </w:r>
      <w:r>
        <w:rPr>
          <w:rFonts w:ascii="Calibri" w:hAnsi="Calibri" w:cs="Calibri"/>
        </w:rPr>
        <w:t xml:space="preserve"> m. vasario </w:t>
      </w:r>
      <w:r w:rsidRPr="00CB4240">
        <w:rPr>
          <w:rFonts w:ascii="Calibri" w:hAnsi="Calibri" w:cs="Calibri"/>
        </w:rPr>
        <w:t>13</w:t>
      </w:r>
      <w:r>
        <w:rPr>
          <w:rFonts w:ascii="Calibri" w:hAnsi="Calibri" w:cs="Calibri"/>
        </w:rPr>
        <w:t xml:space="preserve"> d.</w:t>
      </w:r>
      <w:r w:rsidRPr="00CB4240">
        <w:rPr>
          <w:rFonts w:ascii="Calibri" w:hAnsi="Calibri" w:cs="Calibri"/>
        </w:rPr>
        <w:t xml:space="preserve"> galutine nutartimi </w:t>
      </w:r>
      <w:r>
        <w:rPr>
          <w:rFonts w:ascii="Calibri" w:hAnsi="Calibri" w:cs="Calibri"/>
        </w:rPr>
        <w:t xml:space="preserve">Lietuvos </w:t>
      </w:r>
      <w:r w:rsidRPr="00CB4240">
        <w:rPr>
          <w:rFonts w:ascii="Calibri" w:hAnsi="Calibri" w:cs="Calibri"/>
        </w:rPr>
        <w:t xml:space="preserve">Aukščiausiojo Teismo trijų teisėjų kolegija, kurioje teisėja D. B. buvo </w:t>
      </w:r>
      <w:r>
        <w:rPr>
          <w:rFonts w:ascii="Calibri" w:hAnsi="Calibri" w:cs="Calibri"/>
        </w:rPr>
        <w:t>pranešėja</w:t>
      </w:r>
      <w:r w:rsidRPr="00CB4240">
        <w:rPr>
          <w:rFonts w:ascii="Calibri" w:hAnsi="Calibri" w:cs="Calibri"/>
        </w:rPr>
        <w:t>, atmetė pareiškėjo</w:t>
      </w:r>
      <w:r>
        <w:rPr>
          <w:rFonts w:ascii="Calibri" w:hAnsi="Calibri" w:cs="Calibri"/>
        </w:rPr>
        <w:t xml:space="preserve"> kasacinį</w:t>
      </w:r>
      <w:r w:rsidRPr="00CB4240">
        <w:rPr>
          <w:rFonts w:ascii="Calibri" w:hAnsi="Calibri" w:cs="Calibri"/>
        </w:rPr>
        <w:t xml:space="preserve"> skundą.</w:t>
      </w:r>
    </w:p>
    <w:p w14:paraId="4BB04397" w14:textId="77777777" w:rsidR="00296FC7" w:rsidRPr="00315AA8" w:rsidRDefault="00296FC7" w:rsidP="00296FC7">
      <w:pPr>
        <w:spacing w:after="0" w:line="240" w:lineRule="auto"/>
        <w:ind w:right="-1" w:firstLine="567"/>
        <w:jc w:val="both"/>
        <w:rPr>
          <w:rFonts w:ascii="Calibri" w:eastAsia="Calibri" w:hAnsi="Calibri" w:cs="Calibri"/>
        </w:rPr>
      </w:pPr>
      <w:r>
        <w:rPr>
          <w:rFonts w:ascii="Calibri" w:eastAsia="Calibri" w:hAnsi="Calibri" w:cs="Calibri"/>
        </w:rPr>
        <w:t>Pareiškėjas</w:t>
      </w:r>
      <w:r w:rsidRPr="00315AA8">
        <w:rPr>
          <w:rFonts w:ascii="Calibri" w:eastAsia="Calibri" w:hAnsi="Calibri" w:cs="Calibri"/>
        </w:rPr>
        <w:t xml:space="preserve"> skundėsi, kad buvo pažeistas teismo nešališkumo principas dėl to, kad ta pat</w:t>
      </w:r>
      <w:r>
        <w:rPr>
          <w:rFonts w:ascii="Calibri" w:eastAsia="Calibri" w:hAnsi="Calibri" w:cs="Calibri"/>
        </w:rPr>
        <w:t>i</w:t>
      </w:r>
      <w:r w:rsidRPr="00315AA8">
        <w:rPr>
          <w:rFonts w:ascii="Calibri" w:eastAsia="Calibri" w:hAnsi="Calibri" w:cs="Calibri"/>
        </w:rPr>
        <w:t xml:space="preserve"> Lietuvos Aukščiausiojo Teismo teisėja D. B. jo bylą nagrinėjo du kartus</w:t>
      </w:r>
      <w:r>
        <w:rPr>
          <w:rFonts w:ascii="Calibri" w:eastAsia="Calibri" w:hAnsi="Calibri" w:cs="Calibri"/>
        </w:rPr>
        <w:t>.</w:t>
      </w:r>
    </w:p>
    <w:p w14:paraId="441DE075" w14:textId="77777777" w:rsidR="00296FC7" w:rsidRPr="00315AA8" w:rsidRDefault="00296FC7" w:rsidP="00296FC7">
      <w:pPr>
        <w:spacing w:after="0" w:line="240" w:lineRule="auto"/>
        <w:ind w:right="-1" w:firstLine="567"/>
        <w:jc w:val="both"/>
        <w:rPr>
          <w:rFonts w:ascii="Calibri" w:eastAsia="Calibri" w:hAnsi="Calibri" w:cs="Calibri"/>
        </w:rPr>
      </w:pPr>
      <w:r w:rsidRPr="00315AA8">
        <w:rPr>
          <w:rFonts w:ascii="Calibri" w:eastAsia="Calibri" w:hAnsi="Calibri" w:cs="Calibri"/>
        </w:rPr>
        <w:t xml:space="preserve">Be to, pareiškėjas, remdamasis Konvencijos 7 straipsniu (nėra bausmės be įstatymo), skundėsi, kad </w:t>
      </w:r>
      <w:r>
        <w:rPr>
          <w:rFonts w:ascii="Calibri" w:eastAsia="Calibri" w:hAnsi="Calibri" w:cs="Calibri"/>
        </w:rPr>
        <w:t xml:space="preserve">jis </w:t>
      </w:r>
      <w:r w:rsidRPr="00315AA8">
        <w:rPr>
          <w:rFonts w:ascii="Calibri" w:eastAsia="Calibri" w:hAnsi="Calibri" w:cs="Calibri"/>
        </w:rPr>
        <w:t xml:space="preserve">buvo nuteistas </w:t>
      </w:r>
      <w:r>
        <w:rPr>
          <w:rFonts w:ascii="Calibri" w:eastAsia="Calibri" w:hAnsi="Calibri" w:cs="Calibri"/>
        </w:rPr>
        <w:t>už veikas, kurios pagal nacionalinę teisę nelaikomos nusikaltimu. Pareiškėjas nurodė</w:t>
      </w:r>
      <w:r w:rsidRPr="00315AA8">
        <w:rPr>
          <w:rFonts w:ascii="Calibri" w:eastAsia="Calibri" w:hAnsi="Calibri" w:cs="Calibri"/>
        </w:rPr>
        <w:t>,</w:t>
      </w:r>
      <w:r>
        <w:rPr>
          <w:rFonts w:ascii="Calibri" w:eastAsia="Calibri" w:hAnsi="Calibri" w:cs="Calibri"/>
        </w:rPr>
        <w:t xml:space="preserve"> kad</w:t>
      </w:r>
      <w:r w:rsidRPr="00315AA8">
        <w:rPr>
          <w:rFonts w:ascii="Calibri" w:eastAsia="Calibri" w:hAnsi="Calibri" w:cs="Calibri"/>
        </w:rPr>
        <w:t xml:space="preserve"> nors Seimas neleido panaikinti jo neliečiamybės, dar jo kadencijos metu buvo priimtas Baudžiamojo proceso kodekso pakeitimas, sudarantis galimybę patraukti pareiškėją baudžiamojon atsakomybėn, pasibaigus jo Seimo nario kadencijai. Taip jis tapo pirmuoju Seimo nariu, nuteistu už tai, kad balsavo vietoje kito Seimo nario, nors iki tol Seime balsavimas kito Seimo nario vardu buvo laikomas susiklosčiusia parlamentinės veiklos „tradicija“</w:t>
      </w:r>
      <w:r>
        <w:rPr>
          <w:rFonts w:ascii="Calibri" w:eastAsia="Calibri" w:hAnsi="Calibri" w:cs="Calibri"/>
        </w:rPr>
        <w:t xml:space="preserve"> ir už tai buvo taikoma tik drausminė atsakomybė</w:t>
      </w:r>
      <w:r w:rsidRPr="00315AA8">
        <w:rPr>
          <w:rFonts w:ascii="Calibri" w:eastAsia="Calibri" w:hAnsi="Calibri" w:cs="Calibri"/>
        </w:rPr>
        <w:t>.</w:t>
      </w:r>
    </w:p>
    <w:p w14:paraId="4938B1DC" w14:textId="77777777" w:rsidR="00296FC7" w:rsidRPr="00315AA8" w:rsidRDefault="00296FC7" w:rsidP="00296FC7">
      <w:pPr>
        <w:spacing w:after="0" w:line="240" w:lineRule="auto"/>
        <w:ind w:right="-1"/>
        <w:rPr>
          <w:rFonts w:ascii="Calibri" w:eastAsia="Calibri" w:hAnsi="Calibri" w:cs="Calibri"/>
          <w:b/>
          <w:bCs/>
        </w:rPr>
      </w:pPr>
    </w:p>
    <w:p w14:paraId="1F0C1818" w14:textId="77777777" w:rsidR="00296FC7" w:rsidRPr="00315AA8" w:rsidRDefault="00296FC7" w:rsidP="00296FC7">
      <w:pPr>
        <w:shd w:val="clear" w:color="auto" w:fill="FFFFFF"/>
        <w:spacing w:after="0" w:line="240" w:lineRule="auto"/>
        <w:ind w:right="-1"/>
        <w:jc w:val="center"/>
        <w:rPr>
          <w:rFonts w:ascii="Calibri" w:eastAsia="Times New Roman" w:hAnsi="Calibri" w:cs="Calibri"/>
          <w:b/>
          <w:bCs/>
          <w:color w:val="000000"/>
        </w:rPr>
      </w:pPr>
      <w:r w:rsidRPr="00315AA8">
        <w:rPr>
          <w:rFonts w:ascii="Calibri" w:eastAsia="Times New Roman" w:hAnsi="Calibri" w:cs="Calibri"/>
          <w:b/>
          <w:bCs/>
          <w:color w:val="000000"/>
        </w:rPr>
        <w:t>Neoficiali Teismo sprendimo apžvalga</w:t>
      </w:r>
    </w:p>
    <w:p w14:paraId="2E051C06" w14:textId="77777777" w:rsidR="00296FC7" w:rsidRPr="00315AA8" w:rsidRDefault="00296FC7" w:rsidP="00296FC7">
      <w:pPr>
        <w:spacing w:after="0" w:line="240" w:lineRule="auto"/>
        <w:ind w:right="-1" w:firstLine="567"/>
        <w:jc w:val="both"/>
        <w:rPr>
          <w:rFonts w:ascii="Calibri" w:hAnsi="Calibri" w:cs="Calibri"/>
        </w:rPr>
      </w:pPr>
    </w:p>
    <w:p w14:paraId="1510DAB7" w14:textId="3321BC5E" w:rsidR="00296FC7" w:rsidRDefault="00296FC7" w:rsidP="00296FC7">
      <w:pPr>
        <w:spacing w:after="0" w:line="240" w:lineRule="auto"/>
        <w:ind w:right="-1" w:firstLine="567"/>
        <w:jc w:val="both"/>
        <w:rPr>
          <w:rFonts w:ascii="Calibri" w:hAnsi="Calibri" w:cs="Calibri"/>
        </w:rPr>
      </w:pPr>
      <w:r w:rsidRPr="00315AA8">
        <w:rPr>
          <w:rFonts w:ascii="Calibri" w:hAnsi="Calibri" w:cs="Calibri"/>
        </w:rPr>
        <w:t>EŽTT</w:t>
      </w:r>
      <w:r>
        <w:rPr>
          <w:rFonts w:ascii="Calibri" w:hAnsi="Calibri" w:cs="Calibri"/>
        </w:rPr>
        <w:t xml:space="preserve"> dėl Konvencijos 6 straipsnio 1 dalies pažeidimo</w:t>
      </w:r>
      <w:r w:rsidRPr="00315AA8">
        <w:rPr>
          <w:rFonts w:ascii="Calibri" w:hAnsi="Calibri" w:cs="Calibri"/>
        </w:rPr>
        <w:t xml:space="preserve"> pažymėjo, kad </w:t>
      </w:r>
      <w:r>
        <w:rPr>
          <w:rFonts w:ascii="Calibri" w:hAnsi="Calibri" w:cs="Calibri"/>
        </w:rPr>
        <w:t xml:space="preserve">pareiškėjas nepateikė jokių įrodymų, kad teisėja D. B. parodė asmeninį nusistatymą prieš pareiškėją, todėl šis atvejis nagrinėtas objektyvaus nešališkumo požiūriu. </w:t>
      </w:r>
      <w:r w:rsidRPr="00315AA8">
        <w:rPr>
          <w:rFonts w:ascii="Calibri" w:hAnsi="Calibri" w:cs="Calibri"/>
        </w:rPr>
        <w:t>EŽTT pabrėžė, kad</w:t>
      </w:r>
      <w:r w:rsidRPr="004B7A80">
        <w:rPr>
          <w:rFonts w:ascii="Calibri" w:hAnsi="Calibri" w:cs="Calibri"/>
          <w:u w:val="single"/>
        </w:rPr>
        <w:t xml:space="preserve"> vien ta aplinkybė, jog teisėja D. B. buvo Lietuvos Aukščiausiojo Teismo </w:t>
      </w:r>
      <w:r w:rsidRPr="004B7A80">
        <w:rPr>
          <w:rFonts w:ascii="Calibri" w:hAnsi="Calibri" w:cs="Calibri"/>
          <w:u w:val="single"/>
        </w:rPr>
        <w:lastRenderedPageBreak/>
        <w:t>kolegijos, nagrinėjusios pareiškėjo baudžiamąją bylą, sudėtyje du kartus, pati savaime nesudaro pakankamo pagrindo pagrįstai abejoti jos nešališkumu</w:t>
      </w:r>
      <w:r>
        <w:rPr>
          <w:rFonts w:ascii="Calibri" w:hAnsi="Calibri" w:cs="Calibri"/>
        </w:rPr>
        <w:t>.</w:t>
      </w:r>
      <w:r w:rsidRPr="004B7A80">
        <w:t xml:space="preserve"> </w:t>
      </w:r>
      <w:r w:rsidRPr="004B7A80">
        <w:rPr>
          <w:rFonts w:ascii="Calibri" w:hAnsi="Calibri" w:cs="Calibri"/>
        </w:rPr>
        <w:t>Vien</w:t>
      </w:r>
      <w:r>
        <w:rPr>
          <w:rFonts w:ascii="Calibri" w:hAnsi="Calibri" w:cs="Calibri"/>
        </w:rPr>
        <w:t xml:space="preserve"> tas</w:t>
      </w:r>
      <w:r w:rsidRPr="004B7A80">
        <w:rPr>
          <w:rFonts w:ascii="Calibri" w:hAnsi="Calibri" w:cs="Calibri"/>
        </w:rPr>
        <w:t xml:space="preserve"> fakt</w:t>
      </w:r>
      <w:r>
        <w:rPr>
          <w:rFonts w:ascii="Calibri" w:hAnsi="Calibri" w:cs="Calibri"/>
        </w:rPr>
        <w:t>as</w:t>
      </w:r>
      <w:r w:rsidRPr="004B7A80">
        <w:rPr>
          <w:rFonts w:ascii="Calibri" w:hAnsi="Calibri" w:cs="Calibri"/>
        </w:rPr>
        <w:t xml:space="preserve">, kad teisėjas jau priėmė sprendimą dėl panašių, bet nesusijusių baudžiamųjų kaltinimų, savaime </w:t>
      </w:r>
      <w:r>
        <w:rPr>
          <w:rFonts w:ascii="Calibri" w:hAnsi="Calibri" w:cs="Calibri"/>
        </w:rPr>
        <w:t>nėra pakankamas</w:t>
      </w:r>
      <w:r w:rsidRPr="004B7A80">
        <w:rPr>
          <w:rFonts w:ascii="Calibri" w:hAnsi="Calibri" w:cs="Calibri"/>
        </w:rPr>
        <w:t>, kad</w:t>
      </w:r>
      <w:r>
        <w:rPr>
          <w:rFonts w:ascii="Calibri" w:hAnsi="Calibri" w:cs="Calibri"/>
        </w:rPr>
        <w:t xml:space="preserve"> būtų</w:t>
      </w:r>
      <w:r w:rsidRPr="004B7A80">
        <w:rPr>
          <w:rFonts w:ascii="Calibri" w:hAnsi="Calibri" w:cs="Calibri"/>
        </w:rPr>
        <w:t xml:space="preserve"> suabejot</w:t>
      </w:r>
      <w:r>
        <w:rPr>
          <w:rFonts w:ascii="Calibri" w:hAnsi="Calibri" w:cs="Calibri"/>
        </w:rPr>
        <w:t>a</w:t>
      </w:r>
      <w:r w:rsidRPr="004B7A80">
        <w:rPr>
          <w:rFonts w:ascii="Calibri" w:hAnsi="Calibri" w:cs="Calibri"/>
        </w:rPr>
        <w:t xml:space="preserve"> to teisėjo nešališkumu </w:t>
      </w:r>
      <w:r>
        <w:rPr>
          <w:rFonts w:ascii="Calibri" w:hAnsi="Calibri" w:cs="Calibri"/>
        </w:rPr>
        <w:t xml:space="preserve">kitose </w:t>
      </w:r>
      <w:r w:rsidRPr="004B7A80">
        <w:rPr>
          <w:rFonts w:ascii="Calibri" w:hAnsi="Calibri" w:cs="Calibri"/>
        </w:rPr>
        <w:t>byloje.</w:t>
      </w:r>
      <w:r>
        <w:rPr>
          <w:rFonts w:ascii="Calibri" w:hAnsi="Calibri" w:cs="Calibri"/>
        </w:rPr>
        <w:t xml:space="preserve"> Tačiau </w:t>
      </w:r>
      <w:r w:rsidRPr="001B335E">
        <w:rPr>
          <w:rFonts w:ascii="Calibri" w:hAnsi="Calibri" w:cs="Calibri"/>
          <w:u w:val="single"/>
        </w:rPr>
        <w:t>kitaip vertinama situacija, jei ankstesniuose sprendimuose yra išvadų</w:t>
      </w:r>
      <w:r>
        <w:rPr>
          <w:rFonts w:ascii="Calibri" w:hAnsi="Calibri" w:cs="Calibri"/>
          <w:u w:val="single"/>
        </w:rPr>
        <w:t xml:space="preserve">, kurios nulemia </w:t>
      </w:r>
      <w:r w:rsidRPr="001B335E">
        <w:rPr>
          <w:rFonts w:ascii="Calibri" w:hAnsi="Calibri" w:cs="Calibri"/>
          <w:u w:val="single"/>
        </w:rPr>
        <w:t>kaltinamojo kalt</w:t>
      </w:r>
      <w:r>
        <w:rPr>
          <w:rFonts w:ascii="Calibri" w:hAnsi="Calibri" w:cs="Calibri"/>
          <w:u w:val="single"/>
        </w:rPr>
        <w:t>ės</w:t>
      </w:r>
      <w:r w:rsidRPr="001B335E">
        <w:rPr>
          <w:rFonts w:ascii="Calibri" w:hAnsi="Calibri" w:cs="Calibri"/>
          <w:u w:val="single"/>
        </w:rPr>
        <w:t xml:space="preserve"> </w:t>
      </w:r>
      <w:r>
        <w:rPr>
          <w:rFonts w:ascii="Calibri" w:hAnsi="Calibri" w:cs="Calibri"/>
          <w:u w:val="single"/>
        </w:rPr>
        <w:t>vertinimą</w:t>
      </w:r>
      <w:r w:rsidRPr="001B335E">
        <w:rPr>
          <w:rFonts w:ascii="Calibri" w:hAnsi="Calibri" w:cs="Calibri"/>
          <w:u w:val="single"/>
        </w:rPr>
        <w:t xml:space="preserve"> vėlesn</w:t>
      </w:r>
      <w:r>
        <w:rPr>
          <w:rFonts w:ascii="Calibri" w:hAnsi="Calibri" w:cs="Calibri"/>
          <w:u w:val="single"/>
        </w:rPr>
        <w:t>iuose</w:t>
      </w:r>
      <w:r w:rsidRPr="001B335E">
        <w:rPr>
          <w:rFonts w:ascii="Calibri" w:hAnsi="Calibri" w:cs="Calibri"/>
          <w:u w:val="single"/>
        </w:rPr>
        <w:t xml:space="preserve"> </w:t>
      </w:r>
      <w:r>
        <w:rPr>
          <w:rFonts w:ascii="Calibri" w:hAnsi="Calibri" w:cs="Calibri"/>
          <w:u w:val="single"/>
        </w:rPr>
        <w:t>procesuose</w:t>
      </w:r>
      <w:r w:rsidRPr="00315AA8">
        <w:rPr>
          <w:rFonts w:ascii="Calibri" w:hAnsi="Calibri" w:cs="Calibri"/>
        </w:rPr>
        <w:t xml:space="preserve">. Todėl, siekdamas įvertinti, ar pareiškėjo abejonės teismo šališkumu buvo pagrįstos, Teismas įvertino abi </w:t>
      </w:r>
      <w:r>
        <w:rPr>
          <w:rFonts w:ascii="Calibri" w:hAnsi="Calibri" w:cs="Calibri"/>
        </w:rPr>
        <w:t>Lietuvos Aukščiausiojo Teismo</w:t>
      </w:r>
      <w:r w:rsidRPr="00315AA8">
        <w:rPr>
          <w:rFonts w:ascii="Calibri" w:hAnsi="Calibri" w:cs="Calibri"/>
        </w:rPr>
        <w:t xml:space="preserve"> nutartis.</w:t>
      </w:r>
    </w:p>
    <w:p w14:paraId="42A34B5D" w14:textId="7601A8E7" w:rsidR="00296FC7" w:rsidRDefault="00296FC7" w:rsidP="00296FC7">
      <w:pPr>
        <w:spacing w:after="0" w:line="240" w:lineRule="auto"/>
        <w:ind w:right="-1" w:firstLine="567"/>
        <w:jc w:val="both"/>
        <w:rPr>
          <w:rFonts w:ascii="Calibri" w:hAnsi="Calibri" w:cs="Calibri"/>
        </w:rPr>
      </w:pPr>
      <w:r>
        <w:rPr>
          <w:rFonts w:ascii="Calibri" w:hAnsi="Calibri" w:cs="Calibri"/>
        </w:rPr>
        <w:t xml:space="preserve">Teismas pažymėjo, kad pareiškėjas prašė nušalinti teisėją D. B., nes ji jau buvo išnagrinėjusi jo baudžiamąją bylą. Tačiau kasacinis teismas tokį pareiškėjo prašymą atmetė. Teismas pastebėjo, kad pagal </w:t>
      </w:r>
      <w:r w:rsidRPr="00C9354C">
        <w:rPr>
          <w:rFonts w:ascii="Calibri" w:hAnsi="Calibri" w:cs="Calibri"/>
        </w:rPr>
        <w:t xml:space="preserve">Baudžiamojo proceso kodekso 58 straipsnio 1 dalies 4 punktą teisėjas gali būti nušalintas </w:t>
      </w:r>
      <w:r>
        <w:rPr>
          <w:rFonts w:ascii="Calibri" w:hAnsi="Calibri" w:cs="Calibri"/>
        </w:rPr>
        <w:t xml:space="preserve">dėl </w:t>
      </w:r>
      <w:r w:rsidRPr="00C9354C">
        <w:rPr>
          <w:rFonts w:ascii="Calibri" w:hAnsi="Calibri" w:cs="Calibri"/>
        </w:rPr>
        <w:t>bet kokių kitų aplinkybių, kurios galėtų pagrįstai kelti abejonių jo nešališkum</w:t>
      </w:r>
      <w:r>
        <w:rPr>
          <w:rFonts w:ascii="Calibri" w:hAnsi="Calibri" w:cs="Calibri"/>
        </w:rPr>
        <w:t>u</w:t>
      </w:r>
      <w:r w:rsidRPr="00C9354C">
        <w:rPr>
          <w:rFonts w:ascii="Calibri" w:hAnsi="Calibri" w:cs="Calibri"/>
        </w:rPr>
        <w:t xml:space="preserve">. </w:t>
      </w:r>
      <w:r>
        <w:rPr>
          <w:rFonts w:ascii="Calibri" w:hAnsi="Calibri" w:cs="Calibri"/>
        </w:rPr>
        <w:t>B</w:t>
      </w:r>
      <w:r w:rsidRPr="00C9354C">
        <w:rPr>
          <w:rFonts w:ascii="Calibri" w:hAnsi="Calibri" w:cs="Calibri"/>
        </w:rPr>
        <w:t xml:space="preserve">ūtent </w:t>
      </w:r>
      <w:r>
        <w:rPr>
          <w:rFonts w:ascii="Calibri" w:hAnsi="Calibri" w:cs="Calibri"/>
        </w:rPr>
        <w:t>šiuo pagrindu vadovavosi</w:t>
      </w:r>
      <w:r w:rsidRPr="00C9354C">
        <w:rPr>
          <w:rFonts w:ascii="Calibri" w:hAnsi="Calibri" w:cs="Calibri"/>
        </w:rPr>
        <w:t xml:space="preserve"> </w:t>
      </w:r>
      <w:r>
        <w:rPr>
          <w:rFonts w:ascii="Calibri" w:hAnsi="Calibri" w:cs="Calibri"/>
        </w:rPr>
        <w:t>pareiškėjo atstovai</w:t>
      </w:r>
      <w:r w:rsidRPr="00C9354C">
        <w:rPr>
          <w:rFonts w:ascii="Calibri" w:hAnsi="Calibri" w:cs="Calibri"/>
        </w:rPr>
        <w:t>.</w:t>
      </w:r>
    </w:p>
    <w:p w14:paraId="0D8F010F" w14:textId="38B9921D" w:rsidR="00296FC7" w:rsidRDefault="00296FC7" w:rsidP="00296FC7">
      <w:pPr>
        <w:spacing w:after="0" w:line="240" w:lineRule="auto"/>
        <w:ind w:right="-1" w:firstLine="567"/>
        <w:jc w:val="both"/>
        <w:rPr>
          <w:rFonts w:ascii="Calibri" w:hAnsi="Calibri" w:cs="Calibri"/>
        </w:rPr>
      </w:pPr>
      <w:r>
        <w:rPr>
          <w:rFonts w:ascii="Calibri" w:hAnsi="Calibri" w:cs="Calibri"/>
        </w:rPr>
        <w:t xml:space="preserve">EŽTT, </w:t>
      </w:r>
      <w:r w:rsidRPr="00315AA8">
        <w:rPr>
          <w:rFonts w:ascii="Calibri" w:hAnsi="Calibri" w:cs="Calibri"/>
        </w:rPr>
        <w:t>įvertin</w:t>
      </w:r>
      <w:r>
        <w:rPr>
          <w:rFonts w:ascii="Calibri" w:hAnsi="Calibri" w:cs="Calibri"/>
        </w:rPr>
        <w:t>ęs</w:t>
      </w:r>
      <w:r w:rsidRPr="00315AA8">
        <w:rPr>
          <w:rFonts w:ascii="Calibri" w:hAnsi="Calibri" w:cs="Calibri"/>
        </w:rPr>
        <w:t xml:space="preserve"> abi </w:t>
      </w:r>
      <w:r>
        <w:rPr>
          <w:rFonts w:ascii="Calibri" w:hAnsi="Calibri" w:cs="Calibri"/>
        </w:rPr>
        <w:t>Lietuvos Aukščiausiojo Teismo</w:t>
      </w:r>
      <w:r w:rsidRPr="00315AA8">
        <w:rPr>
          <w:rFonts w:ascii="Calibri" w:hAnsi="Calibri" w:cs="Calibri"/>
        </w:rPr>
        <w:t xml:space="preserve"> nutartis</w:t>
      </w:r>
      <w:r>
        <w:rPr>
          <w:rFonts w:ascii="Calibri" w:hAnsi="Calibri" w:cs="Calibri"/>
        </w:rPr>
        <w:t>, nurodė, kad šiuo atveju Lietuvos Aukščiausiasis Teismas ne tik apibūdino pareiškėjo veikas pagal keletą Baudžiamojo kodekso nuostatų, bet taip pat konstatavo, kad jo veiksmai prilygo dokumentų klastojimui, už kurį nebuvo jokios kitos atsakomybės, tik baudžiamoji.</w:t>
      </w:r>
    </w:p>
    <w:p w14:paraId="422860DC" w14:textId="42274777" w:rsidR="00296FC7" w:rsidRDefault="00296FC7" w:rsidP="00296FC7">
      <w:pPr>
        <w:spacing w:after="0" w:line="240" w:lineRule="auto"/>
        <w:ind w:right="-1" w:firstLine="567"/>
        <w:jc w:val="both"/>
        <w:rPr>
          <w:rFonts w:ascii="Calibri" w:hAnsi="Calibri" w:cs="Calibri"/>
        </w:rPr>
      </w:pPr>
      <w:r>
        <w:rPr>
          <w:rFonts w:ascii="Calibri" w:hAnsi="Calibri" w:cs="Calibri"/>
        </w:rPr>
        <w:t xml:space="preserve">Įvertinęs visas aplinkybes, Teismas padarė išvadą, kad </w:t>
      </w:r>
      <w:r w:rsidRPr="002E7808">
        <w:rPr>
          <w:rFonts w:ascii="Calibri" w:hAnsi="Calibri" w:cs="Calibri"/>
          <w:u w:val="single"/>
        </w:rPr>
        <w:t>pareiškėjas pagrįstai baiminosi, jog teisėja D. B. jau galėjo susidaryti išankstinę nuomonę dėl jo kaltės</w:t>
      </w:r>
      <w:r>
        <w:rPr>
          <w:rFonts w:ascii="Calibri" w:hAnsi="Calibri" w:cs="Calibri"/>
        </w:rPr>
        <w:t>, nors ji nebuvo teisiškai saistoma ankstesnių Lietuvos Aukščiausiojo Teismo išvadų. Tai suponavo, kad pareiškėjo abejonės dėl Lietuvos Aukščiausiojo Teismo nešališkumo, teisėjai D. B. antrą kartą dalyvaujant pareiškėjo bylos nagrinėjime, buvo objektyviai pagrįstos. Todėl buvo pažeista Konvencijos 6 straipsnio 1 dalis.</w:t>
      </w:r>
    </w:p>
    <w:p w14:paraId="2218AB8B" w14:textId="77ED6D67" w:rsidR="00296FC7" w:rsidRPr="00315AA8" w:rsidRDefault="00296FC7" w:rsidP="00296FC7">
      <w:pPr>
        <w:spacing w:after="0" w:line="240" w:lineRule="auto"/>
        <w:ind w:right="-1" w:firstLine="567"/>
        <w:jc w:val="both"/>
        <w:rPr>
          <w:rFonts w:ascii="Calibri" w:hAnsi="Calibri" w:cs="Calibri"/>
        </w:rPr>
      </w:pPr>
      <w:r w:rsidRPr="00315AA8">
        <w:rPr>
          <w:rFonts w:ascii="Calibri" w:hAnsi="Calibri" w:cs="Calibri"/>
        </w:rPr>
        <w:t>Vertindamas pareiškėjo skund</w:t>
      </w:r>
      <w:r>
        <w:rPr>
          <w:rFonts w:ascii="Calibri" w:hAnsi="Calibri" w:cs="Calibri"/>
        </w:rPr>
        <w:t>o argumentus dėl Konvencijos 7 straipsnio pažeidimo ir</w:t>
      </w:r>
      <w:r w:rsidRPr="00315AA8">
        <w:rPr>
          <w:rFonts w:ascii="Calibri" w:hAnsi="Calibri" w:cs="Calibri"/>
        </w:rPr>
        <w:t xml:space="preserve"> dėl neteisėto nuteisimo, Teismas pabrėžė, kad pradėti ikiteisminį tyrimą, pasibaigus pareiškėjo Seimo nario kadencijai, buvo ne tik prokuroro teisė, bet ir pareiga, todėl </w:t>
      </w:r>
      <w:r w:rsidRPr="008F4284">
        <w:rPr>
          <w:rFonts w:ascii="Calibri" w:hAnsi="Calibri" w:cs="Calibri"/>
        </w:rPr>
        <w:t>baudžiamojo persekiojimo</w:t>
      </w:r>
      <w:r>
        <w:rPr>
          <w:rFonts w:ascii="Calibri" w:hAnsi="Calibri" w:cs="Calibri"/>
        </w:rPr>
        <w:t xml:space="preserve"> pradėjimas</w:t>
      </w:r>
      <w:r w:rsidRPr="008F4284">
        <w:rPr>
          <w:rFonts w:ascii="Calibri" w:hAnsi="Calibri" w:cs="Calibri"/>
        </w:rPr>
        <w:t xml:space="preserve"> </w:t>
      </w:r>
      <w:r>
        <w:rPr>
          <w:rFonts w:ascii="Calibri" w:hAnsi="Calibri" w:cs="Calibri"/>
        </w:rPr>
        <w:t>dėl pareiškėjo</w:t>
      </w:r>
      <w:r w:rsidRPr="008F4284">
        <w:rPr>
          <w:rFonts w:ascii="Calibri" w:hAnsi="Calibri" w:cs="Calibri"/>
        </w:rPr>
        <w:t xml:space="preserve"> atitiko Konvencijos 7 straipsnio reikalavimus. </w:t>
      </w:r>
      <w:r w:rsidRPr="00315AA8">
        <w:rPr>
          <w:rFonts w:ascii="Calibri" w:hAnsi="Calibri" w:cs="Calibri"/>
        </w:rPr>
        <w:t xml:space="preserve">Teismo nuomone, buvo galima numatyti, kad pareiškėjo veiksmai </w:t>
      </w:r>
      <w:r>
        <w:rPr>
          <w:rFonts w:ascii="Calibri" w:hAnsi="Calibri" w:cs="Calibri"/>
        </w:rPr>
        <w:t>bus laikomi nusikaltimu pagal baudžiamąjį įstatymą, galiojusį faktinių aplinkybių metu</w:t>
      </w:r>
      <w:r w:rsidRPr="00315AA8">
        <w:rPr>
          <w:rFonts w:ascii="Calibri" w:hAnsi="Calibri" w:cs="Calibri"/>
        </w:rPr>
        <w:t>, todėl Konvencijos 7</w:t>
      </w:r>
      <w:r>
        <w:rPr>
          <w:rFonts w:ascii="Calibri" w:hAnsi="Calibri" w:cs="Calibri"/>
        </w:rPr>
        <w:t> </w:t>
      </w:r>
      <w:r w:rsidRPr="00315AA8">
        <w:rPr>
          <w:rFonts w:ascii="Calibri" w:hAnsi="Calibri" w:cs="Calibri"/>
        </w:rPr>
        <w:t>straipsnis pažeistas nebuvo.</w:t>
      </w:r>
    </w:p>
    <w:p w14:paraId="2779C23F" w14:textId="77777777" w:rsidR="00296FC7" w:rsidRPr="00315AA8" w:rsidRDefault="00296FC7" w:rsidP="00296FC7">
      <w:pPr>
        <w:tabs>
          <w:tab w:val="left" w:pos="567"/>
        </w:tabs>
        <w:spacing w:after="0" w:line="240" w:lineRule="auto"/>
        <w:ind w:right="-1"/>
        <w:jc w:val="both"/>
        <w:rPr>
          <w:rFonts w:ascii="Calibri" w:hAnsi="Calibri" w:cs="Calibri"/>
        </w:rPr>
      </w:pPr>
    </w:p>
    <w:p w14:paraId="051DC10F" w14:textId="77777777" w:rsidR="00296FC7" w:rsidRDefault="00296FC7" w:rsidP="00296FC7">
      <w:pPr>
        <w:pStyle w:val="Betarp"/>
        <w:ind w:right="-1" w:firstLine="567"/>
        <w:jc w:val="both"/>
        <w:rPr>
          <w:rFonts w:ascii="Calibri" w:hAnsi="Calibri" w:cs="Calibri"/>
        </w:rPr>
      </w:pPr>
      <w:r w:rsidRPr="00315AA8">
        <w:rPr>
          <w:rFonts w:ascii="Calibri" w:hAnsi="Calibri" w:cs="Calibri"/>
        </w:rPr>
        <w:t xml:space="preserve">Išvada: </w:t>
      </w:r>
      <w:r>
        <w:rPr>
          <w:rFonts w:ascii="Calibri" w:hAnsi="Calibri" w:cs="Calibri"/>
        </w:rPr>
        <w:t>pažeista</w:t>
      </w:r>
      <w:r w:rsidRPr="00315AA8">
        <w:rPr>
          <w:rFonts w:ascii="Calibri" w:hAnsi="Calibri" w:cs="Calibri"/>
        </w:rPr>
        <w:t xml:space="preserve"> Konvencijos 6 straipsnio 1 dali</w:t>
      </w:r>
      <w:r>
        <w:rPr>
          <w:rFonts w:ascii="Calibri" w:hAnsi="Calibri" w:cs="Calibri"/>
        </w:rPr>
        <w:t xml:space="preserve">s, o </w:t>
      </w:r>
      <w:r w:rsidRPr="00315AA8">
        <w:rPr>
          <w:rFonts w:ascii="Calibri" w:hAnsi="Calibri" w:cs="Calibri"/>
        </w:rPr>
        <w:t>Konvencijos 7 straipsnio pažeidimas nenustatytas</w:t>
      </w:r>
      <w:r>
        <w:rPr>
          <w:rFonts w:ascii="Calibri" w:hAnsi="Calibri" w:cs="Calibri"/>
        </w:rPr>
        <w:t xml:space="preserve"> (vienbalsiai)</w:t>
      </w:r>
      <w:r w:rsidRPr="00315AA8">
        <w:rPr>
          <w:rFonts w:ascii="Calibri" w:hAnsi="Calibri" w:cs="Calibri"/>
        </w:rPr>
        <w:t>.</w:t>
      </w:r>
    </w:p>
    <w:p w14:paraId="61840B94" w14:textId="77777777" w:rsidR="00296FC7" w:rsidRPr="00E1767D" w:rsidRDefault="00296FC7" w:rsidP="00296FC7">
      <w:pPr>
        <w:pStyle w:val="Betarp"/>
        <w:ind w:right="-1" w:firstLine="567"/>
        <w:jc w:val="both"/>
        <w:rPr>
          <w:rFonts w:ascii="Calibri" w:hAnsi="Calibri" w:cs="Calibri"/>
        </w:rPr>
      </w:pPr>
      <w:r w:rsidRPr="00E1767D">
        <w:rPr>
          <w:rFonts w:ascii="Calibri" w:hAnsi="Calibri" w:cs="Calibri"/>
        </w:rPr>
        <w:t>41 straipsnis: pažeidimo konstatavimas įvertintas kaip pakankamas pareiškėjo neturtinei žalai atlyginti.</w:t>
      </w:r>
    </w:p>
    <w:p w14:paraId="21BD1046" w14:textId="77777777" w:rsidR="00296FC7" w:rsidRPr="00315AA8" w:rsidRDefault="00296FC7" w:rsidP="00296FC7">
      <w:pPr>
        <w:pStyle w:val="Betarp"/>
        <w:ind w:right="-1" w:firstLine="567"/>
        <w:jc w:val="both"/>
        <w:rPr>
          <w:rFonts w:ascii="Calibri" w:hAnsi="Calibri" w:cs="Calibri"/>
        </w:rPr>
      </w:pPr>
      <w:hyperlink r:id="rId12" w:history="1">
        <w:r w:rsidRPr="00315AA8">
          <w:rPr>
            <w:rStyle w:val="Hipersaitas"/>
            <w:rFonts w:ascii="Calibri" w:hAnsi="Calibri" w:cs="Calibri"/>
          </w:rPr>
          <w:t>Prieiga internete</w:t>
        </w:r>
      </w:hyperlink>
    </w:p>
    <w:p w14:paraId="005F3ECA" w14:textId="77777777" w:rsidR="00296FC7" w:rsidRDefault="00296FC7" w:rsidP="00350DC6">
      <w:pPr>
        <w:shd w:val="clear" w:color="auto" w:fill="FFFFFF"/>
        <w:spacing w:after="0" w:line="240" w:lineRule="auto"/>
        <w:ind w:right="-1"/>
        <w:rPr>
          <w:rFonts w:ascii="Calibri" w:eastAsia="Times New Roman" w:hAnsi="Calibri" w:cs="Calibri"/>
          <w:b/>
        </w:rPr>
      </w:pPr>
    </w:p>
    <w:p w14:paraId="3AFCCFE3" w14:textId="77777777" w:rsidR="00045B4F" w:rsidRPr="00B61D7E" w:rsidRDefault="00045B4F" w:rsidP="00045B4F">
      <w:pPr>
        <w:spacing w:after="0" w:line="240" w:lineRule="auto"/>
        <w:jc w:val="center"/>
        <w:rPr>
          <w:rFonts w:cstheme="minorHAnsi"/>
          <w:b/>
        </w:rPr>
      </w:pPr>
      <w:r w:rsidRPr="00B61D7E">
        <w:rPr>
          <w:rFonts w:cstheme="minorHAnsi"/>
          <w:b/>
        </w:rPr>
        <w:t>Europos Žmogaus Teisių Teismo 2024 m. gegužės 23 d. sprendimas byloje</w:t>
      </w:r>
    </w:p>
    <w:p w14:paraId="0FC00BFD" w14:textId="77777777" w:rsidR="00045B4F" w:rsidRPr="00045B4F" w:rsidRDefault="00045B4F" w:rsidP="00045B4F">
      <w:pPr>
        <w:keepNext/>
        <w:keepLines/>
        <w:spacing w:after="0" w:line="240" w:lineRule="auto"/>
        <w:jc w:val="center"/>
        <w:outlineLvl w:val="1"/>
        <w:rPr>
          <w:rFonts w:ascii="Calibri" w:eastAsia="Times New Roman" w:hAnsi="Calibri" w:cs="Times New Roman"/>
          <w:b/>
          <w:bCs/>
          <w:i/>
          <w:iCs/>
          <w:color w:val="2E74B5"/>
        </w:rPr>
      </w:pPr>
      <w:bookmarkStart w:id="10" w:name="_Toc181709484"/>
      <w:r w:rsidRPr="00045B4F">
        <w:rPr>
          <w:rFonts w:ascii="Calibri" w:eastAsia="Times New Roman" w:hAnsi="Calibri" w:cs="Times New Roman"/>
          <w:b/>
          <w:bCs/>
          <w:i/>
          <w:iCs/>
          <w:color w:val="2E74B5"/>
        </w:rPr>
        <w:t>Patricolo ir kiti prieš Italiją</w:t>
      </w:r>
      <w:bookmarkEnd w:id="10"/>
    </w:p>
    <w:p w14:paraId="55989830" w14:textId="4276EE45" w:rsidR="00045B4F" w:rsidRDefault="00045B4F" w:rsidP="00045B4F">
      <w:pPr>
        <w:spacing w:after="0" w:line="240" w:lineRule="auto"/>
        <w:ind w:firstLine="567"/>
        <w:jc w:val="center"/>
        <w:rPr>
          <w:rFonts w:cstheme="minorHAnsi"/>
          <w:b/>
        </w:rPr>
      </w:pPr>
      <w:r w:rsidRPr="00B61D7E">
        <w:rPr>
          <w:rFonts w:cstheme="minorHAnsi"/>
          <w:b/>
        </w:rPr>
        <w:t xml:space="preserve">(pareiškimų Nr. </w:t>
      </w:r>
      <w:r w:rsidRPr="00B61D7E">
        <w:rPr>
          <w:rFonts w:cstheme="minorHAnsi"/>
          <w:b/>
          <w:iCs/>
        </w:rPr>
        <w:t xml:space="preserve">37943/17, 54009/18 ir 20655/19, svarbos lygis </w:t>
      </w:r>
      <w:r w:rsidR="00D6093E">
        <w:rPr>
          <w:rFonts w:cstheme="minorHAnsi"/>
          <w:b/>
          <w:iCs/>
        </w:rPr>
        <w:t>–</w:t>
      </w:r>
      <w:r w:rsidRPr="00B61D7E">
        <w:rPr>
          <w:rFonts w:cstheme="minorHAnsi"/>
          <w:b/>
          <w:iCs/>
        </w:rPr>
        <w:t xml:space="preserve"> 2</w:t>
      </w:r>
      <w:r w:rsidRPr="00B61D7E">
        <w:rPr>
          <w:rFonts w:cstheme="minorHAnsi"/>
          <w:b/>
        </w:rPr>
        <w:t>)</w:t>
      </w:r>
    </w:p>
    <w:p w14:paraId="5A135AE1" w14:textId="77777777" w:rsidR="00045B4F" w:rsidRPr="00B61D7E" w:rsidRDefault="00045B4F" w:rsidP="00045B4F">
      <w:pPr>
        <w:spacing w:after="0" w:line="240" w:lineRule="auto"/>
        <w:ind w:firstLine="567"/>
        <w:jc w:val="center"/>
        <w:rPr>
          <w:rStyle w:val="sfbbfee58"/>
          <w:rFonts w:cstheme="minorHAnsi"/>
          <w:b/>
        </w:rPr>
      </w:pPr>
    </w:p>
    <w:p w14:paraId="339243BA" w14:textId="77777777" w:rsidR="00045B4F" w:rsidRPr="00045B4F" w:rsidRDefault="00045B4F" w:rsidP="00045B4F">
      <w:pPr>
        <w:keepNext/>
        <w:keepLines/>
        <w:spacing w:after="0" w:line="240" w:lineRule="auto"/>
        <w:ind w:firstLine="567"/>
        <w:jc w:val="both"/>
        <w:outlineLvl w:val="2"/>
        <w:rPr>
          <w:rFonts w:ascii="Calibri" w:eastAsia="Times New Roman" w:hAnsi="Calibri" w:cs="Times New Roman"/>
          <w:i/>
          <w:szCs w:val="24"/>
        </w:rPr>
      </w:pPr>
      <w:bookmarkStart w:id="11" w:name="_Toc181709485"/>
      <w:r w:rsidRPr="00045B4F">
        <w:rPr>
          <w:rFonts w:ascii="Calibri" w:eastAsia="Times New Roman" w:hAnsi="Calibri" w:cs="Times New Roman"/>
          <w:i/>
          <w:szCs w:val="24"/>
        </w:rPr>
        <w:t>Dėl atsisakymo priimti kasacinį skundą per teisės aktuose nustatytą terminą nepateikus patvirtinimo, kad popierinė pranešimo apie skundžiamo sprendimo įteikimą kopija yra tikra elektroninio originalo kopija</w:t>
      </w:r>
      <w:bookmarkEnd w:id="11"/>
    </w:p>
    <w:p w14:paraId="0D3D162F" w14:textId="77777777" w:rsidR="00045B4F" w:rsidRPr="00776FC7" w:rsidRDefault="00045B4F" w:rsidP="00045B4F">
      <w:pPr>
        <w:spacing w:after="0" w:line="240" w:lineRule="auto"/>
        <w:rPr>
          <w:rFonts w:cstheme="minorHAnsi"/>
          <w:i/>
          <w:iCs/>
        </w:rPr>
      </w:pPr>
    </w:p>
    <w:p w14:paraId="7B88B3DB" w14:textId="77777777" w:rsidR="00045B4F" w:rsidRPr="00776FC7" w:rsidRDefault="00045B4F" w:rsidP="00045B4F">
      <w:pPr>
        <w:spacing w:after="0" w:line="240" w:lineRule="auto"/>
        <w:jc w:val="center"/>
        <w:rPr>
          <w:rFonts w:cstheme="minorHAnsi"/>
          <w:b/>
        </w:rPr>
      </w:pPr>
      <w:r w:rsidRPr="00776FC7">
        <w:rPr>
          <w:rFonts w:cstheme="minorHAnsi"/>
          <w:b/>
        </w:rPr>
        <w:t>Faktinės aplinkybės</w:t>
      </w:r>
    </w:p>
    <w:p w14:paraId="4668CDE5" w14:textId="77777777" w:rsidR="00045B4F" w:rsidRPr="00776FC7" w:rsidRDefault="00045B4F" w:rsidP="00045B4F">
      <w:pPr>
        <w:spacing w:after="0" w:line="240" w:lineRule="auto"/>
        <w:jc w:val="both"/>
        <w:rPr>
          <w:rFonts w:cstheme="minorHAnsi"/>
          <w:b/>
        </w:rPr>
      </w:pPr>
    </w:p>
    <w:p w14:paraId="3DAFB56A" w14:textId="77777777" w:rsidR="00045B4F" w:rsidRDefault="00045B4F" w:rsidP="00045B4F">
      <w:pPr>
        <w:spacing w:after="0" w:line="240" w:lineRule="auto"/>
        <w:ind w:firstLine="567"/>
        <w:jc w:val="both"/>
        <w:rPr>
          <w:rFonts w:cstheme="minorHAnsi"/>
          <w:bCs/>
        </w:rPr>
      </w:pPr>
      <w:r w:rsidRPr="00776FC7">
        <w:rPr>
          <w:rFonts w:cstheme="minorHAnsi"/>
          <w:bCs/>
        </w:rPr>
        <w:t>Pareiškėjai byloje buvo keturi Italijos piliečiai: M. Patricolo, M</w:t>
      </w:r>
      <w:r>
        <w:rPr>
          <w:rFonts w:cstheme="minorHAnsi"/>
          <w:bCs/>
        </w:rPr>
        <w:t>.</w:t>
      </w:r>
      <w:r w:rsidRPr="00DA2097">
        <w:rPr>
          <w:rFonts w:cstheme="minorHAnsi"/>
          <w:bCs/>
        </w:rPr>
        <w:t xml:space="preserve"> Brutti</w:t>
      </w:r>
      <w:r>
        <w:rPr>
          <w:rFonts w:cstheme="minorHAnsi"/>
          <w:bCs/>
        </w:rPr>
        <w:t xml:space="preserve"> </w:t>
      </w:r>
      <w:r w:rsidRPr="00DA2097">
        <w:rPr>
          <w:rFonts w:cstheme="minorHAnsi"/>
          <w:bCs/>
        </w:rPr>
        <w:t>(</w:t>
      </w:r>
      <w:r>
        <w:rPr>
          <w:rFonts w:cstheme="minorHAnsi"/>
          <w:bCs/>
        </w:rPr>
        <w:t>pareiškimas N</w:t>
      </w:r>
      <w:r w:rsidRPr="00DA2097">
        <w:rPr>
          <w:rFonts w:cstheme="minorHAnsi"/>
          <w:bCs/>
        </w:rPr>
        <w:t>r.</w:t>
      </w:r>
      <w:r>
        <w:rPr>
          <w:rFonts w:cstheme="minorHAnsi"/>
          <w:bCs/>
        </w:rPr>
        <w:t> </w:t>
      </w:r>
      <w:r w:rsidRPr="00DA2097">
        <w:rPr>
          <w:rFonts w:cstheme="minorHAnsi"/>
          <w:bCs/>
        </w:rPr>
        <w:t>37943/17</w:t>
      </w:r>
      <w:r>
        <w:rPr>
          <w:rFonts w:cstheme="minorHAnsi"/>
          <w:bCs/>
        </w:rPr>
        <w:t>, toliau – pareiškėjai A</w:t>
      </w:r>
      <w:r w:rsidRPr="00DA2097">
        <w:rPr>
          <w:rFonts w:cstheme="minorHAnsi"/>
          <w:bCs/>
        </w:rPr>
        <w:t>), M</w:t>
      </w:r>
      <w:r>
        <w:rPr>
          <w:rFonts w:cstheme="minorHAnsi"/>
          <w:bCs/>
        </w:rPr>
        <w:t>.</w:t>
      </w:r>
      <w:r w:rsidRPr="00DA2097">
        <w:rPr>
          <w:rFonts w:cstheme="minorHAnsi"/>
          <w:bCs/>
        </w:rPr>
        <w:t xml:space="preserve"> Angeloni ir F</w:t>
      </w:r>
      <w:r>
        <w:rPr>
          <w:rFonts w:cstheme="minorHAnsi"/>
          <w:bCs/>
        </w:rPr>
        <w:t xml:space="preserve">. </w:t>
      </w:r>
      <w:r w:rsidRPr="00DA2097">
        <w:rPr>
          <w:rFonts w:cstheme="minorHAnsi"/>
          <w:bCs/>
        </w:rPr>
        <w:t>Roda</w:t>
      </w:r>
      <w:r>
        <w:rPr>
          <w:rFonts w:cstheme="minorHAnsi"/>
          <w:bCs/>
        </w:rPr>
        <w:t xml:space="preserve"> </w:t>
      </w:r>
      <w:r w:rsidRPr="00DA2097">
        <w:rPr>
          <w:rFonts w:cstheme="minorHAnsi"/>
          <w:bCs/>
        </w:rPr>
        <w:t>(</w:t>
      </w:r>
      <w:r>
        <w:rPr>
          <w:rFonts w:cstheme="minorHAnsi"/>
          <w:bCs/>
        </w:rPr>
        <w:t>pareiškimas Nr.</w:t>
      </w:r>
      <w:r w:rsidRPr="00DA2097">
        <w:rPr>
          <w:rFonts w:cstheme="minorHAnsi"/>
          <w:bCs/>
        </w:rPr>
        <w:t xml:space="preserve"> 20655/19</w:t>
      </w:r>
      <w:r>
        <w:rPr>
          <w:rFonts w:cstheme="minorHAnsi"/>
          <w:bCs/>
        </w:rPr>
        <w:t>, toliau – pareiškėjai B</w:t>
      </w:r>
      <w:r w:rsidRPr="00DA2097">
        <w:rPr>
          <w:rFonts w:cstheme="minorHAnsi"/>
          <w:bCs/>
        </w:rPr>
        <w:t>) ir viena ribotos atsakomybės bendrovė</w:t>
      </w:r>
      <w:r>
        <w:rPr>
          <w:rFonts w:cstheme="minorHAnsi"/>
          <w:bCs/>
        </w:rPr>
        <w:t xml:space="preserve"> </w:t>
      </w:r>
      <w:r w:rsidRPr="00DA2097">
        <w:rPr>
          <w:rFonts w:cstheme="minorHAnsi"/>
          <w:bCs/>
        </w:rPr>
        <w:t xml:space="preserve">Immobiliare Il Castelletto S.R.L. </w:t>
      </w:r>
      <w:r>
        <w:rPr>
          <w:rFonts w:cstheme="minorHAnsi"/>
          <w:bCs/>
        </w:rPr>
        <w:t>(pareiškimo Nr. </w:t>
      </w:r>
      <w:r w:rsidRPr="00DA2097">
        <w:rPr>
          <w:rFonts w:cstheme="minorHAnsi"/>
          <w:bCs/>
        </w:rPr>
        <w:t>54009/18</w:t>
      </w:r>
      <w:r>
        <w:rPr>
          <w:rFonts w:cstheme="minorHAnsi"/>
          <w:bCs/>
        </w:rPr>
        <w:t>, toliau – pareiškėjas C</w:t>
      </w:r>
      <w:r w:rsidRPr="00DA2097">
        <w:rPr>
          <w:rFonts w:cstheme="minorHAnsi"/>
          <w:bCs/>
        </w:rPr>
        <w:t>)</w:t>
      </w:r>
      <w:r>
        <w:rPr>
          <w:rFonts w:cstheme="minorHAnsi"/>
          <w:bCs/>
        </w:rPr>
        <w:t>.</w:t>
      </w:r>
    </w:p>
    <w:p w14:paraId="18CF7A94" w14:textId="77777777" w:rsidR="00045B4F" w:rsidRDefault="00045B4F" w:rsidP="00045B4F">
      <w:pPr>
        <w:spacing w:after="0" w:line="240" w:lineRule="auto"/>
        <w:ind w:firstLine="567"/>
        <w:jc w:val="both"/>
        <w:rPr>
          <w:rFonts w:cstheme="minorHAnsi"/>
          <w:bCs/>
        </w:rPr>
      </w:pPr>
      <w:r>
        <w:rPr>
          <w:rFonts w:cstheme="minorHAnsi"/>
          <w:bCs/>
        </w:rPr>
        <w:t>Visi p</w:t>
      </w:r>
      <w:r w:rsidRPr="00DA2097">
        <w:rPr>
          <w:rFonts w:cstheme="minorHAnsi"/>
          <w:bCs/>
        </w:rPr>
        <w:t xml:space="preserve">areiškėjai padavė kasacinius skundus kasaciniam teismui, </w:t>
      </w:r>
      <w:r>
        <w:rPr>
          <w:rFonts w:cstheme="minorHAnsi"/>
          <w:bCs/>
        </w:rPr>
        <w:t>tačiau skundai buvo</w:t>
      </w:r>
      <w:r w:rsidRPr="00DA2097">
        <w:rPr>
          <w:rFonts w:cstheme="minorHAnsi"/>
          <w:bCs/>
        </w:rPr>
        <w:t xml:space="preserve"> pripažinti nepriimtinais</w:t>
      </w:r>
      <w:r>
        <w:rPr>
          <w:rFonts w:cstheme="minorHAnsi"/>
          <w:bCs/>
        </w:rPr>
        <w:t>:</w:t>
      </w:r>
      <w:r w:rsidRPr="00DA2097">
        <w:rPr>
          <w:rFonts w:cstheme="minorHAnsi"/>
          <w:bCs/>
        </w:rPr>
        <w:t xml:space="preserve"> šio teismo kanceliarijai nepatei</w:t>
      </w:r>
      <w:r>
        <w:rPr>
          <w:rFonts w:cstheme="minorHAnsi"/>
          <w:bCs/>
        </w:rPr>
        <w:t>kus</w:t>
      </w:r>
      <w:r w:rsidRPr="00DA2097">
        <w:rPr>
          <w:rFonts w:cstheme="minorHAnsi"/>
          <w:bCs/>
        </w:rPr>
        <w:t xml:space="preserve"> pranešim</w:t>
      </w:r>
      <w:r>
        <w:rPr>
          <w:rFonts w:cstheme="minorHAnsi"/>
          <w:bCs/>
        </w:rPr>
        <w:t>o</w:t>
      </w:r>
      <w:r w:rsidRPr="00DA2097">
        <w:rPr>
          <w:rFonts w:cstheme="minorHAnsi"/>
          <w:bCs/>
        </w:rPr>
        <w:t xml:space="preserve"> apie </w:t>
      </w:r>
      <w:r>
        <w:rPr>
          <w:rFonts w:cstheme="minorHAnsi"/>
          <w:bCs/>
        </w:rPr>
        <w:t xml:space="preserve">skundžiamo sprendimo </w:t>
      </w:r>
      <w:r w:rsidRPr="00DA2097">
        <w:rPr>
          <w:rFonts w:cstheme="minorHAnsi"/>
          <w:bCs/>
        </w:rPr>
        <w:t>įteikimą</w:t>
      </w:r>
      <w:r>
        <w:rPr>
          <w:rFonts w:cstheme="minorHAnsi"/>
          <w:bCs/>
        </w:rPr>
        <w:t xml:space="preserve"> </w:t>
      </w:r>
      <w:r w:rsidRPr="00DA2097">
        <w:rPr>
          <w:rFonts w:cstheme="minorHAnsi"/>
          <w:bCs/>
        </w:rPr>
        <w:t>(</w:t>
      </w:r>
      <w:r>
        <w:rPr>
          <w:rFonts w:cstheme="minorHAnsi"/>
          <w:bCs/>
        </w:rPr>
        <w:t xml:space="preserve">pareiškėjai A); </w:t>
      </w:r>
      <w:r w:rsidRPr="00B61D7E">
        <w:rPr>
          <w:rFonts w:cstheme="minorHAnsi"/>
          <w:bCs/>
        </w:rPr>
        <w:t>per teisės aktuose nustatytą terminą nepateik</w:t>
      </w:r>
      <w:r>
        <w:rPr>
          <w:rFonts w:cstheme="minorHAnsi"/>
          <w:bCs/>
        </w:rPr>
        <w:t>us</w:t>
      </w:r>
      <w:r w:rsidRPr="00B61D7E">
        <w:rPr>
          <w:rFonts w:cstheme="minorHAnsi"/>
          <w:bCs/>
        </w:rPr>
        <w:t xml:space="preserve"> patvirtinim</w:t>
      </w:r>
      <w:r>
        <w:rPr>
          <w:rFonts w:cstheme="minorHAnsi"/>
          <w:bCs/>
        </w:rPr>
        <w:t>o</w:t>
      </w:r>
      <w:r w:rsidRPr="00B61D7E">
        <w:rPr>
          <w:rFonts w:cstheme="minorHAnsi"/>
          <w:bCs/>
        </w:rPr>
        <w:t>, kad popierinė pranešimo apie sprendimo įteikimą kopija buvo tikra elektroninio originalo kopija</w:t>
      </w:r>
      <w:r>
        <w:rPr>
          <w:rFonts w:cstheme="minorHAnsi"/>
          <w:bCs/>
        </w:rPr>
        <w:t xml:space="preserve"> (pareiškėjai B ir C</w:t>
      </w:r>
      <w:r w:rsidRPr="00DA2097">
        <w:rPr>
          <w:rFonts w:cstheme="minorHAnsi"/>
          <w:bCs/>
        </w:rPr>
        <w:t>)</w:t>
      </w:r>
      <w:r>
        <w:rPr>
          <w:rFonts w:cstheme="minorHAnsi"/>
          <w:bCs/>
        </w:rPr>
        <w:t>.</w:t>
      </w:r>
    </w:p>
    <w:p w14:paraId="6A9E35C9" w14:textId="77777777" w:rsidR="00045B4F" w:rsidRPr="00DA2097" w:rsidRDefault="00045B4F" w:rsidP="00045B4F">
      <w:pPr>
        <w:spacing w:after="0" w:line="240" w:lineRule="auto"/>
        <w:ind w:firstLine="567"/>
        <w:jc w:val="both"/>
        <w:rPr>
          <w:rFonts w:cstheme="minorHAnsi"/>
          <w:bCs/>
        </w:rPr>
      </w:pPr>
      <w:r w:rsidRPr="00DA2097">
        <w:rPr>
          <w:rFonts w:cstheme="minorHAnsi"/>
          <w:bCs/>
        </w:rPr>
        <w:t xml:space="preserve">Iš esmės remdamiesi </w:t>
      </w:r>
      <w:r>
        <w:rPr>
          <w:rFonts w:cstheme="minorHAnsi"/>
          <w:bCs/>
        </w:rPr>
        <w:t xml:space="preserve">Konvencijos </w:t>
      </w:r>
      <w:r w:rsidRPr="00DA2097">
        <w:rPr>
          <w:rFonts w:cstheme="minorHAnsi"/>
          <w:bCs/>
        </w:rPr>
        <w:t>6 straipsnio 1 dalimi (teisė kreiptis į teismą), pareiškėjai skundėsi, kad</w:t>
      </w:r>
      <w:r>
        <w:rPr>
          <w:rFonts w:cstheme="minorHAnsi"/>
          <w:bCs/>
        </w:rPr>
        <w:t xml:space="preserve"> k</w:t>
      </w:r>
      <w:r w:rsidRPr="00DA2097">
        <w:rPr>
          <w:rFonts w:cstheme="minorHAnsi"/>
          <w:bCs/>
        </w:rPr>
        <w:t>asacini</w:t>
      </w:r>
      <w:r>
        <w:rPr>
          <w:rFonts w:cstheme="minorHAnsi"/>
          <w:bCs/>
        </w:rPr>
        <w:t>o</w:t>
      </w:r>
      <w:r w:rsidRPr="00DA2097">
        <w:rPr>
          <w:rFonts w:cstheme="minorHAnsi"/>
          <w:bCs/>
        </w:rPr>
        <w:t xml:space="preserve"> teism</w:t>
      </w:r>
      <w:r>
        <w:rPr>
          <w:rFonts w:cstheme="minorHAnsi"/>
          <w:bCs/>
        </w:rPr>
        <w:t>o</w:t>
      </w:r>
      <w:r w:rsidRPr="00DA2097">
        <w:rPr>
          <w:rFonts w:cstheme="minorHAnsi"/>
          <w:bCs/>
        </w:rPr>
        <w:t xml:space="preserve"> </w:t>
      </w:r>
      <w:r>
        <w:rPr>
          <w:rFonts w:cstheme="minorHAnsi"/>
          <w:bCs/>
        </w:rPr>
        <w:t>atsisakymas priimti pareiškėjų skundus</w:t>
      </w:r>
      <w:r w:rsidRPr="00DA2097">
        <w:rPr>
          <w:rFonts w:cstheme="minorHAnsi"/>
          <w:bCs/>
        </w:rPr>
        <w:t xml:space="preserve"> dėl </w:t>
      </w:r>
      <w:r>
        <w:rPr>
          <w:rFonts w:cstheme="minorHAnsi"/>
          <w:bCs/>
        </w:rPr>
        <w:t xml:space="preserve">to, kad jie </w:t>
      </w:r>
      <w:r w:rsidRPr="00DA2097">
        <w:rPr>
          <w:rFonts w:cstheme="minorHAnsi"/>
          <w:bCs/>
        </w:rPr>
        <w:t>nesilaik</w:t>
      </w:r>
      <w:r>
        <w:rPr>
          <w:rFonts w:cstheme="minorHAnsi"/>
          <w:bCs/>
        </w:rPr>
        <w:t xml:space="preserve">ė </w:t>
      </w:r>
      <w:r w:rsidRPr="00DA2097">
        <w:rPr>
          <w:rFonts w:cstheme="minorHAnsi"/>
          <w:bCs/>
        </w:rPr>
        <w:t>Civilinio proceso kodekso 369 straipsnyje nustatyt</w:t>
      </w:r>
      <w:r>
        <w:rPr>
          <w:rFonts w:cstheme="minorHAnsi"/>
          <w:bCs/>
        </w:rPr>
        <w:t>ų</w:t>
      </w:r>
      <w:r w:rsidRPr="00DA2097">
        <w:rPr>
          <w:rFonts w:cstheme="minorHAnsi"/>
          <w:bCs/>
        </w:rPr>
        <w:t xml:space="preserve"> formali</w:t>
      </w:r>
      <w:r>
        <w:rPr>
          <w:rFonts w:cstheme="minorHAnsi"/>
          <w:bCs/>
        </w:rPr>
        <w:t>ų</w:t>
      </w:r>
      <w:r w:rsidRPr="00DA2097">
        <w:rPr>
          <w:rFonts w:cstheme="minorHAnsi"/>
          <w:bCs/>
        </w:rPr>
        <w:t xml:space="preserve"> reikalavim</w:t>
      </w:r>
      <w:r>
        <w:rPr>
          <w:rFonts w:cstheme="minorHAnsi"/>
          <w:bCs/>
        </w:rPr>
        <w:t>ų</w:t>
      </w:r>
      <w:r w:rsidRPr="00DA2097">
        <w:rPr>
          <w:rFonts w:cstheme="minorHAnsi"/>
          <w:bCs/>
        </w:rPr>
        <w:t xml:space="preserve"> ir termin</w:t>
      </w:r>
      <w:r>
        <w:rPr>
          <w:rFonts w:cstheme="minorHAnsi"/>
          <w:bCs/>
        </w:rPr>
        <w:t>ų,</w:t>
      </w:r>
      <w:r w:rsidRPr="00DA2097">
        <w:rPr>
          <w:rFonts w:cstheme="minorHAnsi"/>
          <w:bCs/>
        </w:rPr>
        <w:t xml:space="preserve"> buvo pernelyg formalus ir nepagrįstai apribojo</w:t>
      </w:r>
      <w:r>
        <w:rPr>
          <w:rFonts w:cstheme="minorHAnsi"/>
          <w:bCs/>
        </w:rPr>
        <w:t xml:space="preserve"> </w:t>
      </w:r>
      <w:r w:rsidRPr="00DA2097">
        <w:rPr>
          <w:rFonts w:cstheme="minorHAnsi"/>
          <w:bCs/>
        </w:rPr>
        <w:t>jų teis</w:t>
      </w:r>
      <w:r>
        <w:rPr>
          <w:rFonts w:cstheme="minorHAnsi"/>
          <w:bCs/>
        </w:rPr>
        <w:t>ę</w:t>
      </w:r>
      <w:r w:rsidRPr="00DA2097">
        <w:rPr>
          <w:rFonts w:cstheme="minorHAnsi"/>
          <w:bCs/>
        </w:rPr>
        <w:t xml:space="preserve"> kreiptis į teismą</w:t>
      </w:r>
      <w:r>
        <w:rPr>
          <w:rFonts w:cstheme="minorHAnsi"/>
          <w:bCs/>
        </w:rPr>
        <w:t>.</w:t>
      </w:r>
    </w:p>
    <w:p w14:paraId="52825ECC" w14:textId="77777777" w:rsidR="00045B4F" w:rsidRPr="004A5CF1" w:rsidRDefault="00045B4F" w:rsidP="00045B4F">
      <w:pPr>
        <w:spacing w:after="0" w:line="240" w:lineRule="auto"/>
        <w:ind w:firstLine="567"/>
        <w:jc w:val="both"/>
        <w:rPr>
          <w:rFonts w:cstheme="minorHAnsi"/>
          <w:bCs/>
          <w:highlight w:val="yellow"/>
        </w:rPr>
      </w:pPr>
    </w:p>
    <w:p w14:paraId="6E7B9ED5" w14:textId="77777777" w:rsidR="00045B4F" w:rsidRPr="00B61D7E" w:rsidRDefault="00045B4F" w:rsidP="00045B4F">
      <w:pPr>
        <w:spacing w:after="0" w:line="240" w:lineRule="auto"/>
        <w:jc w:val="center"/>
        <w:rPr>
          <w:rFonts w:cstheme="minorHAnsi"/>
          <w:b/>
        </w:rPr>
      </w:pPr>
      <w:r w:rsidRPr="00B61D7E">
        <w:rPr>
          <w:rFonts w:cstheme="minorHAnsi"/>
          <w:b/>
        </w:rPr>
        <w:lastRenderedPageBreak/>
        <w:t>Neoficiali Teismo sprendimo apžvalga</w:t>
      </w:r>
    </w:p>
    <w:p w14:paraId="178952B5" w14:textId="77777777" w:rsidR="00045B4F" w:rsidRPr="004A5CF1" w:rsidRDefault="00045B4F" w:rsidP="00045B4F">
      <w:pPr>
        <w:spacing w:after="0" w:line="240" w:lineRule="auto"/>
        <w:ind w:firstLine="567"/>
        <w:jc w:val="both"/>
        <w:rPr>
          <w:rFonts w:cstheme="minorHAnsi"/>
          <w:highlight w:val="yellow"/>
        </w:rPr>
      </w:pPr>
    </w:p>
    <w:p w14:paraId="0A36B104" w14:textId="77777777" w:rsidR="00045B4F" w:rsidRPr="00776FC7" w:rsidRDefault="00045B4F" w:rsidP="00045B4F">
      <w:pPr>
        <w:spacing w:after="0" w:line="240" w:lineRule="auto"/>
        <w:ind w:firstLine="567"/>
        <w:jc w:val="both"/>
        <w:rPr>
          <w:rFonts w:cstheme="minorHAnsi"/>
        </w:rPr>
      </w:pPr>
      <w:r w:rsidRPr="00776FC7">
        <w:rPr>
          <w:rFonts w:cstheme="minorHAnsi"/>
        </w:rPr>
        <w:t>Teism</w:t>
      </w:r>
      <w:r>
        <w:rPr>
          <w:rFonts w:cstheme="minorHAnsi"/>
        </w:rPr>
        <w:t xml:space="preserve">as pažymėjo, kad jo </w:t>
      </w:r>
      <w:r w:rsidRPr="00776FC7">
        <w:rPr>
          <w:rFonts w:cstheme="minorHAnsi"/>
        </w:rPr>
        <w:t>užduotis šioje byloje yra įvertinti, ar kasacini</w:t>
      </w:r>
      <w:r>
        <w:rPr>
          <w:rFonts w:cstheme="minorHAnsi"/>
        </w:rPr>
        <w:t>ų</w:t>
      </w:r>
      <w:r w:rsidRPr="00776FC7">
        <w:rPr>
          <w:rFonts w:cstheme="minorHAnsi"/>
        </w:rPr>
        <w:t xml:space="preserve"> skund</w:t>
      </w:r>
      <w:r>
        <w:rPr>
          <w:rFonts w:cstheme="minorHAnsi"/>
        </w:rPr>
        <w:t>ų</w:t>
      </w:r>
      <w:r w:rsidRPr="00776FC7">
        <w:rPr>
          <w:rFonts w:cstheme="minorHAnsi"/>
        </w:rPr>
        <w:t xml:space="preserve"> pripažinimas nepriimtin</w:t>
      </w:r>
      <w:r>
        <w:rPr>
          <w:rFonts w:cstheme="minorHAnsi"/>
        </w:rPr>
        <w:t>ais</w:t>
      </w:r>
      <w:r w:rsidRPr="00776FC7">
        <w:rPr>
          <w:rFonts w:cstheme="minorHAnsi"/>
        </w:rPr>
        <w:t xml:space="preserve"> </w:t>
      </w:r>
      <w:r>
        <w:rPr>
          <w:rFonts w:cstheme="minorHAnsi"/>
        </w:rPr>
        <w:t>apribojo</w:t>
      </w:r>
      <w:r w:rsidRPr="00776FC7">
        <w:rPr>
          <w:rFonts w:cstheme="minorHAnsi"/>
        </w:rPr>
        <w:t xml:space="preserve"> pačią </w:t>
      </w:r>
      <w:r>
        <w:rPr>
          <w:rFonts w:cstheme="minorHAnsi"/>
        </w:rPr>
        <w:t>pareiškėjų</w:t>
      </w:r>
      <w:r w:rsidRPr="00776FC7">
        <w:rPr>
          <w:rFonts w:cstheme="minorHAnsi"/>
        </w:rPr>
        <w:t xml:space="preserve"> teisės kreiptis į teismą esmę. Siekdamas tai padaryti, Teismas visų pirma vertin</w:t>
      </w:r>
      <w:r>
        <w:rPr>
          <w:rFonts w:cstheme="minorHAnsi"/>
        </w:rPr>
        <w:t>o</w:t>
      </w:r>
      <w:r w:rsidRPr="00776FC7">
        <w:rPr>
          <w:rFonts w:cstheme="minorHAnsi"/>
        </w:rPr>
        <w:t xml:space="preserve">, ar </w:t>
      </w:r>
      <w:r>
        <w:rPr>
          <w:rFonts w:cstheme="minorHAnsi"/>
        </w:rPr>
        <w:t xml:space="preserve">nustatytais skundo </w:t>
      </w:r>
      <w:r w:rsidRPr="00776FC7">
        <w:rPr>
          <w:rFonts w:cstheme="minorHAnsi"/>
        </w:rPr>
        <w:t>padavimo kasaciniam teismui reikalavimais buvo siekiama teisėto tikslo</w:t>
      </w:r>
      <w:r>
        <w:rPr>
          <w:rFonts w:cstheme="minorHAnsi"/>
        </w:rPr>
        <w:t>. A</w:t>
      </w:r>
      <w:r w:rsidRPr="00776FC7">
        <w:rPr>
          <w:rFonts w:cstheme="minorHAnsi"/>
        </w:rPr>
        <w:t xml:space="preserve">ntra, </w:t>
      </w:r>
      <w:r>
        <w:rPr>
          <w:rFonts w:cstheme="minorHAnsi"/>
        </w:rPr>
        <w:t xml:space="preserve">Teismas vertino, </w:t>
      </w:r>
      <w:r w:rsidRPr="00776FC7">
        <w:rPr>
          <w:rFonts w:cstheme="minorHAnsi"/>
        </w:rPr>
        <w:t xml:space="preserve">ar </w:t>
      </w:r>
      <w:r>
        <w:rPr>
          <w:rFonts w:cstheme="minorHAnsi"/>
        </w:rPr>
        <w:t>minėti reikalavimai</w:t>
      </w:r>
      <w:r w:rsidRPr="00776FC7">
        <w:rPr>
          <w:rFonts w:cstheme="minorHAnsi"/>
        </w:rPr>
        <w:t xml:space="preserve"> buvo proporcingi </w:t>
      </w:r>
      <w:r>
        <w:rPr>
          <w:rFonts w:cstheme="minorHAnsi"/>
        </w:rPr>
        <w:t>siekiamam</w:t>
      </w:r>
      <w:r w:rsidRPr="00776FC7">
        <w:rPr>
          <w:rFonts w:cstheme="minorHAnsi"/>
        </w:rPr>
        <w:t xml:space="preserve"> tikslui. </w:t>
      </w:r>
    </w:p>
    <w:p w14:paraId="6F318FF6" w14:textId="77777777" w:rsidR="00045B4F" w:rsidRDefault="00045B4F" w:rsidP="00045B4F">
      <w:pPr>
        <w:spacing w:after="0" w:line="240" w:lineRule="auto"/>
        <w:ind w:firstLine="567"/>
        <w:jc w:val="both"/>
        <w:rPr>
          <w:rFonts w:cstheme="minorHAnsi"/>
        </w:rPr>
      </w:pPr>
      <w:r w:rsidRPr="00776FC7">
        <w:rPr>
          <w:rFonts w:cstheme="minorHAnsi"/>
        </w:rPr>
        <w:t>Teismas suti</w:t>
      </w:r>
      <w:r>
        <w:rPr>
          <w:rFonts w:cstheme="minorHAnsi"/>
        </w:rPr>
        <w:t>ko</w:t>
      </w:r>
      <w:r w:rsidRPr="00776FC7">
        <w:rPr>
          <w:rFonts w:cstheme="minorHAnsi"/>
        </w:rPr>
        <w:t xml:space="preserve"> su </w:t>
      </w:r>
      <w:r>
        <w:rPr>
          <w:rFonts w:cstheme="minorHAnsi"/>
        </w:rPr>
        <w:t xml:space="preserve">Italijos </w:t>
      </w:r>
      <w:r w:rsidRPr="00776FC7">
        <w:rPr>
          <w:rFonts w:cstheme="minorHAnsi"/>
        </w:rPr>
        <w:t>Vyriausybės teiginiu, kad ginčijamomis taisyklėmis buvo siekiama teisėto tikslo – teisinio tikrumo ir tinkamo teisingumo vykdymo.</w:t>
      </w:r>
    </w:p>
    <w:p w14:paraId="5B6CC255" w14:textId="087C0C86" w:rsidR="00045B4F" w:rsidRPr="008153D9" w:rsidRDefault="00045B4F" w:rsidP="00045B4F">
      <w:pPr>
        <w:spacing w:after="0" w:line="240" w:lineRule="auto"/>
        <w:ind w:firstLine="567"/>
        <w:jc w:val="both"/>
        <w:rPr>
          <w:rStyle w:val="sbb9ee52a"/>
        </w:rPr>
      </w:pPr>
      <w:r>
        <w:rPr>
          <w:rStyle w:val="sbb9ee52a"/>
        </w:rPr>
        <w:t xml:space="preserve">Vertindamas proporcingumą, Teismas atskirai išskyrė pareiškėjų A situaciją, kai kasacinio </w:t>
      </w:r>
      <w:r w:rsidRPr="00DA2097">
        <w:rPr>
          <w:rFonts w:cstheme="minorHAnsi"/>
          <w:bCs/>
        </w:rPr>
        <w:t xml:space="preserve">teismo kanceliarijai </w:t>
      </w:r>
      <w:r>
        <w:rPr>
          <w:rFonts w:cstheme="minorHAnsi"/>
          <w:bCs/>
        </w:rPr>
        <w:t xml:space="preserve">buvo </w:t>
      </w:r>
      <w:r w:rsidRPr="00DA2097">
        <w:rPr>
          <w:rFonts w:cstheme="minorHAnsi"/>
          <w:bCs/>
        </w:rPr>
        <w:t>nepatei</w:t>
      </w:r>
      <w:r>
        <w:rPr>
          <w:rFonts w:cstheme="minorHAnsi"/>
          <w:bCs/>
        </w:rPr>
        <w:t>ktas</w:t>
      </w:r>
      <w:r w:rsidRPr="00DA2097">
        <w:rPr>
          <w:rFonts w:cstheme="minorHAnsi"/>
          <w:bCs/>
        </w:rPr>
        <w:t xml:space="preserve"> pranešim</w:t>
      </w:r>
      <w:r>
        <w:rPr>
          <w:rFonts w:cstheme="minorHAnsi"/>
          <w:bCs/>
        </w:rPr>
        <w:t>as</w:t>
      </w:r>
      <w:r w:rsidRPr="00DA2097">
        <w:rPr>
          <w:rFonts w:cstheme="minorHAnsi"/>
          <w:bCs/>
        </w:rPr>
        <w:t xml:space="preserve"> apie </w:t>
      </w:r>
      <w:r>
        <w:rPr>
          <w:rFonts w:cstheme="minorHAnsi"/>
          <w:bCs/>
        </w:rPr>
        <w:t xml:space="preserve">skundžiamų sprendimų </w:t>
      </w:r>
      <w:r w:rsidRPr="00DA2097">
        <w:rPr>
          <w:rFonts w:cstheme="minorHAnsi"/>
          <w:bCs/>
        </w:rPr>
        <w:t>įteikimą</w:t>
      </w:r>
      <w:r>
        <w:rPr>
          <w:rFonts w:cstheme="minorHAnsi"/>
          <w:bCs/>
        </w:rPr>
        <w:t>.</w:t>
      </w:r>
      <w:r>
        <w:rPr>
          <w:rStyle w:val="sbb9ee52a"/>
        </w:rPr>
        <w:t xml:space="preserve"> Šiuo aspektu Teismas akcentavo, kad </w:t>
      </w:r>
      <w:r w:rsidRPr="00FC584F">
        <w:rPr>
          <w:rStyle w:val="sbb9ee52a"/>
          <w:u w:val="single"/>
        </w:rPr>
        <w:t>pareiga pateikti kanceliarijai pranešimą apie skundžiamo sprendimo įteikimą kasaciniam teismui leidžia įvertinti, ar buvo laikomasi kasacinio skundo padavimo termino</w:t>
      </w:r>
      <w:r w:rsidR="00275510">
        <w:rPr>
          <w:rStyle w:val="sbb9ee52a"/>
          <w:u w:val="single"/>
        </w:rPr>
        <w:t>,</w:t>
      </w:r>
      <w:r w:rsidRPr="00FC584F">
        <w:rPr>
          <w:rStyle w:val="sbb9ee52a"/>
          <w:u w:val="single"/>
        </w:rPr>
        <w:t xml:space="preserve"> ir patikrinti, ar sprendimas, dėl kurio paduotas skundas, dar nėra įsiteisėjęs</w:t>
      </w:r>
      <w:r w:rsidRPr="00776FC7">
        <w:rPr>
          <w:rStyle w:val="sbb9ee52a"/>
        </w:rPr>
        <w:t xml:space="preserve">. Todėl pareiškėjams nesilaikant Civilinio proceso kodekso 369 straipsnio, kasaciniam teismui buvo užkirstas kelias </w:t>
      </w:r>
      <w:r>
        <w:rPr>
          <w:rStyle w:val="sbb9ee52a"/>
        </w:rPr>
        <w:t xml:space="preserve">ankstyviausioje bylos </w:t>
      </w:r>
      <w:r w:rsidRPr="00EF59A2">
        <w:rPr>
          <w:rStyle w:val="sbb9ee52a"/>
        </w:rPr>
        <w:t>nagrinėjimo stadijoje įvertinti, ar buvo laikytasi skundų padavimo terminų. Taigi ginčijama priemonė buvo įvertinta kaip adekvati teisėtam</w:t>
      </w:r>
      <w:r w:rsidRPr="00776FC7">
        <w:rPr>
          <w:rStyle w:val="sbb9ee52a"/>
        </w:rPr>
        <w:t xml:space="preserve"> tikslui pasiekti.</w:t>
      </w:r>
    </w:p>
    <w:p w14:paraId="76681B5B" w14:textId="77777777" w:rsidR="00045B4F" w:rsidRDefault="00045B4F" w:rsidP="00045B4F">
      <w:pPr>
        <w:spacing w:after="0" w:line="240" w:lineRule="auto"/>
        <w:ind w:firstLine="567"/>
        <w:jc w:val="both"/>
        <w:rPr>
          <w:rStyle w:val="sbb9ee52a"/>
        </w:rPr>
      </w:pPr>
      <w:r>
        <w:rPr>
          <w:rStyle w:val="sbb9ee52a"/>
        </w:rPr>
        <w:t xml:space="preserve">Dėl pareiškėjų B ir C (jų skundus atsisakyta priimti, nes </w:t>
      </w:r>
      <w:r w:rsidRPr="00B61D7E">
        <w:rPr>
          <w:rFonts w:cstheme="minorHAnsi"/>
          <w:bCs/>
        </w:rPr>
        <w:t>per teisės aktuose nustatytą terminą nepateik</w:t>
      </w:r>
      <w:r>
        <w:rPr>
          <w:rFonts w:cstheme="minorHAnsi"/>
          <w:bCs/>
        </w:rPr>
        <w:t>tas</w:t>
      </w:r>
      <w:r w:rsidRPr="00B61D7E">
        <w:rPr>
          <w:rFonts w:cstheme="minorHAnsi"/>
          <w:bCs/>
        </w:rPr>
        <w:t xml:space="preserve"> patvirtinim</w:t>
      </w:r>
      <w:r>
        <w:rPr>
          <w:rFonts w:cstheme="minorHAnsi"/>
          <w:bCs/>
        </w:rPr>
        <w:t>as</w:t>
      </w:r>
      <w:r w:rsidRPr="00B61D7E">
        <w:rPr>
          <w:rFonts w:cstheme="minorHAnsi"/>
          <w:bCs/>
        </w:rPr>
        <w:t xml:space="preserve">, </w:t>
      </w:r>
      <w:r>
        <w:rPr>
          <w:rFonts w:cstheme="minorHAnsi"/>
          <w:bCs/>
        </w:rPr>
        <w:t>jog</w:t>
      </w:r>
      <w:r w:rsidRPr="00B61D7E">
        <w:rPr>
          <w:rFonts w:cstheme="minorHAnsi"/>
          <w:bCs/>
        </w:rPr>
        <w:t xml:space="preserve"> popierinė pranešimo apie </w:t>
      </w:r>
      <w:r>
        <w:rPr>
          <w:rFonts w:cstheme="minorHAnsi"/>
          <w:bCs/>
        </w:rPr>
        <w:t xml:space="preserve">skundžiamo </w:t>
      </w:r>
      <w:r w:rsidRPr="00B61D7E">
        <w:rPr>
          <w:rFonts w:cstheme="minorHAnsi"/>
          <w:bCs/>
        </w:rPr>
        <w:t>sprendimo įteikimą kopija buvo tikra elektroninio originalo kopija</w:t>
      </w:r>
      <w:r>
        <w:rPr>
          <w:rFonts w:cstheme="minorHAnsi"/>
          <w:bCs/>
        </w:rPr>
        <w:t xml:space="preserve">) </w:t>
      </w:r>
      <w:r w:rsidRPr="00AC5344">
        <w:rPr>
          <w:rFonts w:cstheme="minorHAnsi"/>
          <w:bCs/>
          <w:u w:val="single"/>
        </w:rPr>
        <w:t>Teismas išskyrė atskirus nagrinėtinus aspektus, kurie aktualūs, siekiant nustatyti kreipimosi į aukštesnės instancijos teismus apribojimo proporcingumą</w:t>
      </w:r>
      <w:r>
        <w:rPr>
          <w:rFonts w:cstheme="minorHAnsi"/>
          <w:bCs/>
        </w:rPr>
        <w:t>:</w:t>
      </w:r>
    </w:p>
    <w:p w14:paraId="018322AA" w14:textId="77777777" w:rsidR="00AC5344" w:rsidRDefault="00045B4F" w:rsidP="00AC5344">
      <w:pPr>
        <w:pStyle w:val="Sraopastraipa"/>
        <w:numPr>
          <w:ilvl w:val="0"/>
          <w:numId w:val="10"/>
        </w:numPr>
        <w:spacing w:after="0" w:line="240" w:lineRule="auto"/>
        <w:ind w:left="0" w:firstLine="567"/>
        <w:jc w:val="both"/>
        <w:rPr>
          <w:rStyle w:val="sa36b60a1"/>
        </w:rPr>
      </w:pPr>
      <w:r w:rsidRPr="00AC5344">
        <w:rPr>
          <w:rStyle w:val="sa36b60a1"/>
          <w:i/>
          <w:iCs/>
        </w:rPr>
        <w:t>Reikalavimas, kad apribojimai būtų numatomi</w:t>
      </w:r>
      <w:r w:rsidRPr="008153D9">
        <w:rPr>
          <w:rStyle w:val="sa36b60a1"/>
        </w:rPr>
        <w:t>. Teismas pažym</w:t>
      </w:r>
      <w:r>
        <w:rPr>
          <w:rStyle w:val="sa36b60a1"/>
        </w:rPr>
        <w:t>ėjo</w:t>
      </w:r>
      <w:r w:rsidRPr="008153D9">
        <w:rPr>
          <w:rStyle w:val="sa36b60a1"/>
        </w:rPr>
        <w:t>, kad Civilinio proceso kodekso 369 straipsnis nustat</w:t>
      </w:r>
      <w:r>
        <w:rPr>
          <w:rStyle w:val="sa36b60a1"/>
        </w:rPr>
        <w:t>ė</w:t>
      </w:r>
      <w:r w:rsidRPr="008153D9">
        <w:rPr>
          <w:rStyle w:val="sa36b60a1"/>
        </w:rPr>
        <w:t xml:space="preserve"> pareigą</w:t>
      </w:r>
      <w:r>
        <w:rPr>
          <w:rStyle w:val="sa36b60a1"/>
        </w:rPr>
        <w:t xml:space="preserve"> pateikti patvirtintą skundžiamo sprendimo kopiją</w:t>
      </w:r>
      <w:r w:rsidRPr="008153D9">
        <w:rPr>
          <w:rStyle w:val="sa36b60a1"/>
        </w:rPr>
        <w:t xml:space="preserve"> kartu su pranešimu apie įteikimą. Teismas nemat</w:t>
      </w:r>
      <w:r>
        <w:rPr>
          <w:rStyle w:val="sa36b60a1"/>
        </w:rPr>
        <w:t>ė</w:t>
      </w:r>
      <w:r w:rsidRPr="008153D9">
        <w:rPr>
          <w:rStyle w:val="sa36b60a1"/>
        </w:rPr>
        <w:t xml:space="preserve"> pagrindo </w:t>
      </w:r>
      <w:r>
        <w:rPr>
          <w:rStyle w:val="sa36b60a1"/>
        </w:rPr>
        <w:t>nesutikti su</w:t>
      </w:r>
      <w:r w:rsidRPr="008153D9">
        <w:rPr>
          <w:rStyle w:val="sa36b60a1"/>
        </w:rPr>
        <w:t xml:space="preserve"> kasacinio teismo išvad</w:t>
      </w:r>
      <w:r>
        <w:rPr>
          <w:rStyle w:val="sa36b60a1"/>
        </w:rPr>
        <w:t>a</w:t>
      </w:r>
      <w:r w:rsidRPr="008153D9">
        <w:rPr>
          <w:rStyle w:val="sa36b60a1"/>
        </w:rPr>
        <w:t>, kad, siekiant laikytis Civilinio proceso kodekso 369 straipsnio, buvo būtinas pranešimo apie įteikimą kopijos tikrum</w:t>
      </w:r>
      <w:r>
        <w:rPr>
          <w:rStyle w:val="sa36b60a1"/>
        </w:rPr>
        <w:t>o</w:t>
      </w:r>
      <w:r w:rsidRPr="008153D9">
        <w:rPr>
          <w:rStyle w:val="sa36b60a1"/>
        </w:rPr>
        <w:t xml:space="preserve"> patvirtinimas. </w:t>
      </w:r>
      <w:r>
        <w:rPr>
          <w:rStyle w:val="sa36b60a1"/>
        </w:rPr>
        <w:t>Pažymėta, jog</w:t>
      </w:r>
      <w:r w:rsidRPr="008153D9">
        <w:rPr>
          <w:rStyle w:val="sa36b60a1"/>
        </w:rPr>
        <w:t xml:space="preserve"> kasacinio teismo motyvai buvo aiškūs.</w:t>
      </w:r>
    </w:p>
    <w:p w14:paraId="1A1AC9B6" w14:textId="77777777" w:rsidR="00AC5344" w:rsidRDefault="00045B4F" w:rsidP="00AC5344">
      <w:pPr>
        <w:pStyle w:val="Sraopastraipa"/>
        <w:numPr>
          <w:ilvl w:val="0"/>
          <w:numId w:val="10"/>
        </w:numPr>
        <w:spacing w:after="0" w:line="240" w:lineRule="auto"/>
        <w:ind w:left="0" w:firstLine="567"/>
        <w:jc w:val="both"/>
        <w:rPr>
          <w:rStyle w:val="sa36b60a1"/>
        </w:rPr>
      </w:pPr>
      <w:r w:rsidRPr="00AC5344">
        <w:rPr>
          <w:rStyle w:val="sa36b60a1"/>
          <w:i/>
          <w:iCs/>
        </w:rPr>
        <w:t>Klausimas, kas turėtų prisiimti neigiamas proceso metu padarytų klaidų pasekmes</w:t>
      </w:r>
      <w:r w:rsidRPr="00657B94">
        <w:rPr>
          <w:rStyle w:val="sa36b60a1"/>
        </w:rPr>
        <w:t>. Teismas suti</w:t>
      </w:r>
      <w:r>
        <w:rPr>
          <w:rStyle w:val="sa36b60a1"/>
        </w:rPr>
        <w:t>ko</w:t>
      </w:r>
      <w:r w:rsidRPr="00657B94">
        <w:rPr>
          <w:rStyle w:val="sa36b60a1"/>
        </w:rPr>
        <w:t xml:space="preserve"> su Vyriausybe, kad pateikti patvirtinimą, </w:t>
      </w:r>
      <w:r>
        <w:rPr>
          <w:rStyle w:val="sa36b60a1"/>
        </w:rPr>
        <w:t>jog</w:t>
      </w:r>
      <w:r w:rsidRPr="00657B94">
        <w:rPr>
          <w:rStyle w:val="sa36b60a1"/>
        </w:rPr>
        <w:t xml:space="preserve"> dokumentai yra tikros kopijos, nebuvo pernelyg didelė našta, nes tik reikalavo, kad advokatai ant popierinių kopijų</w:t>
      </w:r>
      <w:r>
        <w:rPr>
          <w:rStyle w:val="sa36b60a1"/>
        </w:rPr>
        <w:t>,</w:t>
      </w:r>
      <w:r w:rsidRPr="00657B94">
        <w:rPr>
          <w:rStyle w:val="sa36b60a1"/>
        </w:rPr>
        <w:t xml:space="preserve"> prieš paduoda</w:t>
      </w:r>
      <w:r>
        <w:rPr>
          <w:rStyle w:val="sa36b60a1"/>
        </w:rPr>
        <w:t>mi</w:t>
      </w:r>
      <w:r w:rsidRPr="00657B94">
        <w:rPr>
          <w:rStyle w:val="sa36b60a1"/>
        </w:rPr>
        <w:t xml:space="preserve"> jas kanceliarijai</w:t>
      </w:r>
      <w:r>
        <w:rPr>
          <w:rStyle w:val="sa36b60a1"/>
        </w:rPr>
        <w:t>,</w:t>
      </w:r>
      <w:r w:rsidRPr="00657B94">
        <w:rPr>
          <w:rStyle w:val="sa36b60a1"/>
        </w:rPr>
        <w:t xml:space="preserve"> surašytų ir pasirašytų tokį patvirtinimą. Atsižvelgiant į tai, atrod</w:t>
      </w:r>
      <w:r>
        <w:rPr>
          <w:rStyle w:val="sa36b60a1"/>
        </w:rPr>
        <w:t>ė</w:t>
      </w:r>
      <w:r w:rsidRPr="00657B94">
        <w:rPr>
          <w:rStyle w:val="sa36b60a1"/>
        </w:rPr>
        <w:t>, kad procedūrinės klaidos buvo galima lengvai išvengti, o</w:t>
      </w:r>
      <w:r>
        <w:rPr>
          <w:rStyle w:val="sa36b60a1"/>
        </w:rPr>
        <w:t>,</w:t>
      </w:r>
      <w:r w:rsidRPr="00657B94">
        <w:rPr>
          <w:rStyle w:val="sa36b60a1"/>
        </w:rPr>
        <w:t xml:space="preserve"> </w:t>
      </w:r>
      <w:r>
        <w:rPr>
          <w:rStyle w:val="sa36b60a1"/>
        </w:rPr>
        <w:t>įvertinęs</w:t>
      </w:r>
      <w:r w:rsidRPr="00657B94">
        <w:rPr>
          <w:rStyle w:val="sa36b60a1"/>
        </w:rPr>
        <w:t xml:space="preserve"> </w:t>
      </w:r>
      <w:r>
        <w:rPr>
          <w:rStyle w:val="sa36b60a1"/>
        </w:rPr>
        <w:t>t</w:t>
      </w:r>
      <w:r w:rsidRPr="00657B94">
        <w:rPr>
          <w:rStyle w:val="sa36b60a1"/>
        </w:rPr>
        <w:t xml:space="preserve">ai, kad </w:t>
      </w:r>
      <w:r>
        <w:rPr>
          <w:rStyle w:val="sa36b60a1"/>
        </w:rPr>
        <w:t xml:space="preserve">dėl jos </w:t>
      </w:r>
      <w:r w:rsidRPr="00657B94">
        <w:rPr>
          <w:rStyle w:val="sa36b60a1"/>
        </w:rPr>
        <w:t xml:space="preserve">daugiausia kalti </w:t>
      </w:r>
      <w:r>
        <w:rPr>
          <w:rStyle w:val="sa36b60a1"/>
        </w:rPr>
        <w:t xml:space="preserve">pareiškėjų </w:t>
      </w:r>
      <w:r w:rsidRPr="00657B94">
        <w:rPr>
          <w:rStyle w:val="sa36b60a1"/>
        </w:rPr>
        <w:t>advokatai, Teismas man</w:t>
      </w:r>
      <w:r>
        <w:rPr>
          <w:rStyle w:val="sa36b60a1"/>
        </w:rPr>
        <w:t>ė</w:t>
      </w:r>
      <w:r w:rsidRPr="00657B94">
        <w:rPr>
          <w:rStyle w:val="sa36b60a1"/>
        </w:rPr>
        <w:t>, kad neigiamos šios klaidos pasekmės turėtų tekti pareiškėjams.</w:t>
      </w:r>
    </w:p>
    <w:p w14:paraId="2F41CBFD" w14:textId="5C9D5034" w:rsidR="00045B4F" w:rsidRDefault="00045B4F" w:rsidP="00AC5344">
      <w:pPr>
        <w:pStyle w:val="Sraopastraipa"/>
        <w:numPr>
          <w:ilvl w:val="0"/>
          <w:numId w:val="10"/>
        </w:numPr>
        <w:spacing w:after="0" w:line="240" w:lineRule="auto"/>
        <w:ind w:left="0" w:firstLine="567"/>
        <w:jc w:val="both"/>
        <w:rPr>
          <w:rStyle w:val="sa36b60a1"/>
        </w:rPr>
      </w:pPr>
      <w:r w:rsidRPr="00AC5344">
        <w:rPr>
          <w:rStyle w:val="sa36b60a1"/>
          <w:i/>
          <w:iCs/>
        </w:rPr>
        <w:t>„Perdėto formalizmo“ kriterijus</w:t>
      </w:r>
      <w:r w:rsidRPr="00657B94">
        <w:rPr>
          <w:rStyle w:val="sa36b60a1"/>
        </w:rPr>
        <w:t>. Teismas pakartoj</w:t>
      </w:r>
      <w:r>
        <w:rPr>
          <w:rStyle w:val="sa36b60a1"/>
        </w:rPr>
        <w:t>o savo praktiką</w:t>
      </w:r>
      <w:r w:rsidRPr="00657B94">
        <w:rPr>
          <w:rStyle w:val="sa36b60a1"/>
        </w:rPr>
        <w:t xml:space="preserve">, kad </w:t>
      </w:r>
      <w:r w:rsidRPr="00AC5344">
        <w:rPr>
          <w:rStyle w:val="sa36b60a1"/>
          <w:u w:val="single"/>
        </w:rPr>
        <w:t>taikydami procesines taisykles nacionaliniai teismai turi vengti per didelio formalizmo, kuris gali prieštarauti reikalavimui užtikrinti praktinę ir veiksmingą teisę kreiptis į teismą pagal Konvencijos 6 straipsnio 1 dalį</w:t>
      </w:r>
      <w:r w:rsidRPr="00657B94">
        <w:rPr>
          <w:rStyle w:val="sa36b60a1"/>
        </w:rPr>
        <w:t>. Nagrinė</w:t>
      </w:r>
      <w:r>
        <w:rPr>
          <w:rStyle w:val="sa36b60a1"/>
        </w:rPr>
        <w:t>tu</w:t>
      </w:r>
      <w:r w:rsidRPr="00657B94">
        <w:rPr>
          <w:rStyle w:val="sa36b60a1"/>
        </w:rPr>
        <w:t xml:space="preserve"> atveju dokumentų originalai buvo elektroniniai. Pateikti juos elektronine forma buvo techniškai neįmanoma, nes kasacinis teismas </w:t>
      </w:r>
      <w:r>
        <w:rPr>
          <w:rStyle w:val="sa36b60a1"/>
        </w:rPr>
        <w:t>nepriėmė skundų</w:t>
      </w:r>
      <w:r w:rsidRPr="00657B94">
        <w:rPr>
          <w:rStyle w:val="sa36b60a1"/>
        </w:rPr>
        <w:t xml:space="preserve"> elektroniniu būdu. Esant tokioms aplinkybėms, kad pranešimas apie įteikimą būtų </w:t>
      </w:r>
      <w:r>
        <w:rPr>
          <w:rStyle w:val="sa36b60a1"/>
        </w:rPr>
        <w:t>laikomas dokumentu</w:t>
      </w:r>
      <w:r w:rsidRPr="00657B94">
        <w:rPr>
          <w:rStyle w:val="sa36b60a1"/>
        </w:rPr>
        <w:t>, kurį įformin</w:t>
      </w:r>
      <w:r>
        <w:rPr>
          <w:rStyle w:val="sa36b60a1"/>
        </w:rPr>
        <w:t>o</w:t>
      </w:r>
      <w:r w:rsidRPr="00657B94">
        <w:rPr>
          <w:rStyle w:val="sa36b60a1"/>
        </w:rPr>
        <w:t xml:space="preserve"> įgaliotas valstybės pareigūnas, pareiškėjų advokatai turėjo atlikti papildomą formalumą, t</w:t>
      </w:r>
      <w:r>
        <w:rPr>
          <w:rStyle w:val="sa36b60a1"/>
        </w:rPr>
        <w:t xml:space="preserve">. </w:t>
      </w:r>
      <w:r w:rsidRPr="00657B94">
        <w:rPr>
          <w:rStyle w:val="sa36b60a1"/>
        </w:rPr>
        <w:t>y</w:t>
      </w:r>
      <w:r>
        <w:rPr>
          <w:rStyle w:val="sa36b60a1"/>
        </w:rPr>
        <w:t>.</w:t>
      </w:r>
      <w:r w:rsidRPr="00657B94">
        <w:rPr>
          <w:rStyle w:val="sa36b60a1"/>
        </w:rPr>
        <w:t xml:space="preserve"> patvirtinti, kad popierinė kopija yra tikra original</w:t>
      </w:r>
      <w:r>
        <w:rPr>
          <w:rStyle w:val="sa36b60a1"/>
        </w:rPr>
        <w:t>aus</w:t>
      </w:r>
      <w:r w:rsidRPr="00657B94">
        <w:rPr>
          <w:rStyle w:val="sa36b60a1"/>
        </w:rPr>
        <w:t xml:space="preserve"> elektroninio dokumento kopija.</w:t>
      </w:r>
      <w:r>
        <w:rPr>
          <w:rStyle w:val="sa36b60a1"/>
        </w:rPr>
        <w:t xml:space="preserve"> Šiuo atveju </w:t>
      </w:r>
      <w:r w:rsidRPr="00FC584F">
        <w:rPr>
          <w:rStyle w:val="sa36b60a1"/>
        </w:rPr>
        <w:t>skundžiamų sprendimų įteikimo data buvo įtraukta į bylos medžiagą nuo pat ankstyviausios bylos nagrinėjimo stadijos</w:t>
      </w:r>
      <w:r>
        <w:rPr>
          <w:rStyle w:val="sa36b60a1"/>
        </w:rPr>
        <w:t>, t</w:t>
      </w:r>
      <w:r w:rsidRPr="00FC584F">
        <w:rPr>
          <w:rStyle w:val="sa36b60a1"/>
        </w:rPr>
        <w:t>aigi kasacinis teismas galėjo</w:t>
      </w:r>
      <w:r>
        <w:rPr>
          <w:rStyle w:val="sa36b60a1"/>
        </w:rPr>
        <w:t>,</w:t>
      </w:r>
      <w:r w:rsidRPr="00FC584F">
        <w:rPr>
          <w:rStyle w:val="sa36b60a1"/>
        </w:rPr>
        <w:t xml:space="preserve"> nesiimdamas jokių tolesnių veiksmų ir nedelsdamas</w:t>
      </w:r>
      <w:r>
        <w:rPr>
          <w:rStyle w:val="sa36b60a1"/>
        </w:rPr>
        <w:t>,</w:t>
      </w:r>
      <w:r w:rsidRPr="00FC584F">
        <w:rPr>
          <w:rStyle w:val="sa36b60a1"/>
        </w:rPr>
        <w:t xml:space="preserve"> patikrinti, ar </w:t>
      </w:r>
      <w:r>
        <w:rPr>
          <w:rStyle w:val="sa36b60a1"/>
        </w:rPr>
        <w:t xml:space="preserve">pareiškėjų </w:t>
      </w:r>
      <w:r w:rsidRPr="00FC584F">
        <w:rPr>
          <w:rStyle w:val="sa36b60a1"/>
        </w:rPr>
        <w:t>skundai buvo pateikti laiku.</w:t>
      </w:r>
    </w:p>
    <w:p w14:paraId="0A3B7351" w14:textId="77777777" w:rsidR="00045B4F" w:rsidRDefault="00045B4F" w:rsidP="00045B4F">
      <w:pPr>
        <w:spacing w:after="0" w:line="240" w:lineRule="auto"/>
        <w:ind w:firstLine="567"/>
        <w:jc w:val="both"/>
      </w:pPr>
      <w:r w:rsidRPr="00FC584F">
        <w:rPr>
          <w:u w:val="single"/>
        </w:rPr>
        <w:t xml:space="preserve">Dėl rizikos, kad popierinės kopijos gali neatitikti elektroninių originalų, Teismas pažymėjo, kad pagal nacionalinę teisę teismui pateiktų </w:t>
      </w:r>
      <w:r w:rsidRPr="00AE0519">
        <w:rPr>
          <w:u w:val="single"/>
        </w:rPr>
        <w:t>dokumentų vientisumas</w:t>
      </w:r>
      <w:r>
        <w:rPr>
          <w:u w:val="single"/>
        </w:rPr>
        <w:t xml:space="preserve"> </w:t>
      </w:r>
      <w:r w:rsidRPr="00FC584F">
        <w:rPr>
          <w:u w:val="single"/>
        </w:rPr>
        <w:t>paprastai užtikrinamas baudžiamosiomis ir drausminėmis nuobaudomis</w:t>
      </w:r>
      <w:r w:rsidRPr="00FC584F">
        <w:t xml:space="preserve">, kurios gali būti taikomos </w:t>
      </w:r>
      <w:r>
        <w:t>pažeidusiems atitinkamas pareigas</w:t>
      </w:r>
      <w:r w:rsidRPr="00FC584F">
        <w:t xml:space="preserve">. Be to, </w:t>
      </w:r>
      <w:r w:rsidRPr="00FC584F">
        <w:rPr>
          <w:u w:val="single"/>
        </w:rPr>
        <w:t>ar popierinės kopijos yra tikros elektroninių originalų kopijos, galima lengvai patikrinti vėlesniame proceso etape pakviečiant pareiškėjus pateikti atitinkamą liudijimą</w:t>
      </w:r>
      <w:r w:rsidRPr="00FC584F">
        <w:t xml:space="preserve">. </w:t>
      </w:r>
      <w:r w:rsidRPr="00FC584F">
        <w:rPr>
          <w:u w:val="single"/>
        </w:rPr>
        <w:t>Tai ypač pasakytina apie perėjimą nuo popierinių prie elektroninių bylų, kai dėl poreikio pritaikyti formalius popieriniams dokumentams taikomus reikalavimus reikia lanksčiau juos taikyti elektroniniams</w:t>
      </w:r>
      <w:r w:rsidRPr="00FC584F">
        <w:t xml:space="preserve">. Panaši nuomonė buvo išreikšta </w:t>
      </w:r>
      <w:r>
        <w:t xml:space="preserve">ir </w:t>
      </w:r>
      <w:r w:rsidRPr="00FC584F">
        <w:t xml:space="preserve">Rekomendacijose dėl elektroninio </w:t>
      </w:r>
      <w:r>
        <w:t xml:space="preserve">pareiškimo teismui (e-pareiškimo) </w:t>
      </w:r>
      <w:r w:rsidRPr="00FC584F">
        <w:t xml:space="preserve">ir teismų skaitmeninimo, kuriose </w:t>
      </w:r>
      <w:r>
        <w:t>Europos veiksmingo teisingumo komisija</w:t>
      </w:r>
      <w:r w:rsidRPr="00FC584F">
        <w:t xml:space="preserve"> rekomendavo valstybėms užtikrinti tam tikrą lankstumą ir apriboti naudotojams tenkančią administracinę naštą keičiant teismines procedūras </w:t>
      </w:r>
      <w:r>
        <w:t xml:space="preserve">bei </w:t>
      </w:r>
      <w:r w:rsidRPr="00FC584F">
        <w:t>dieg</w:t>
      </w:r>
      <w:r>
        <w:t xml:space="preserve">iant </w:t>
      </w:r>
      <w:r w:rsidRPr="00FC584F">
        <w:t>elektroninių dokumentų sistemas</w:t>
      </w:r>
      <w:r>
        <w:t>.</w:t>
      </w:r>
    </w:p>
    <w:p w14:paraId="25C3AC11" w14:textId="77777777" w:rsidR="00045B4F" w:rsidRPr="000B71A1" w:rsidRDefault="00045B4F" w:rsidP="00045B4F">
      <w:pPr>
        <w:spacing w:after="0" w:line="240" w:lineRule="auto"/>
        <w:ind w:firstLine="567"/>
        <w:jc w:val="both"/>
        <w:rPr>
          <w:rStyle w:val="sbb9ee52a"/>
          <w:u w:val="single"/>
        </w:rPr>
      </w:pPr>
      <w:r w:rsidRPr="00010B92">
        <w:rPr>
          <w:rStyle w:val="sbb9ee52a"/>
        </w:rPr>
        <w:t>Esant tokioms aplinkybėms, Teismas man</w:t>
      </w:r>
      <w:r>
        <w:rPr>
          <w:rStyle w:val="sbb9ee52a"/>
        </w:rPr>
        <w:t>ė</w:t>
      </w:r>
      <w:r w:rsidRPr="00010B92">
        <w:rPr>
          <w:rStyle w:val="sbb9ee52a"/>
        </w:rPr>
        <w:t xml:space="preserve">, kad </w:t>
      </w:r>
      <w:r w:rsidRPr="00010B92">
        <w:rPr>
          <w:rStyle w:val="sbb9ee52a"/>
          <w:u w:val="single"/>
        </w:rPr>
        <w:t xml:space="preserve">patvirtinimo, jog pranešimo apie įteikimą popierinės kopijos buvo tikros kopijos, nebuvimas, nesutrukdė kasaciniam teismui </w:t>
      </w:r>
      <w:r>
        <w:rPr>
          <w:rStyle w:val="sbb9ee52a"/>
          <w:u w:val="single"/>
        </w:rPr>
        <w:t xml:space="preserve">kuo anksčiau </w:t>
      </w:r>
      <w:r w:rsidRPr="00010B92">
        <w:rPr>
          <w:rStyle w:val="sbb9ee52a"/>
          <w:u w:val="single"/>
        </w:rPr>
        <w:t xml:space="preserve">įvertinti, ar buvo </w:t>
      </w:r>
      <w:r w:rsidRPr="00010B92">
        <w:rPr>
          <w:rStyle w:val="sbb9ee52a"/>
          <w:u w:val="single"/>
        </w:rPr>
        <w:lastRenderedPageBreak/>
        <w:t xml:space="preserve">laikomasi trumpo </w:t>
      </w:r>
      <w:r>
        <w:rPr>
          <w:rStyle w:val="sbb9ee52a"/>
          <w:u w:val="single"/>
        </w:rPr>
        <w:t>kasacinio</w:t>
      </w:r>
      <w:r w:rsidRPr="00010B92">
        <w:rPr>
          <w:rStyle w:val="sbb9ee52a"/>
          <w:u w:val="single"/>
        </w:rPr>
        <w:t xml:space="preserve"> skundo padavimo termino</w:t>
      </w:r>
      <w:r w:rsidRPr="00010B92">
        <w:rPr>
          <w:rStyle w:val="sbb9ee52a"/>
        </w:rPr>
        <w:t xml:space="preserve">. </w:t>
      </w:r>
      <w:r w:rsidRPr="00171AD5">
        <w:rPr>
          <w:rStyle w:val="sbb9ee52a"/>
          <w:u w:val="single"/>
        </w:rPr>
        <w:t xml:space="preserve">Kasacinių skundų pripažinimas nepriimtinais, be kita ko, nesuteikiant pareiškėjams tinkamos galimybės pateikti patvirtinimą vėliau, ypač pereinamuoju laikotarpiu nuo popierinio </w:t>
      </w:r>
      <w:r w:rsidRPr="00AE0519">
        <w:rPr>
          <w:rStyle w:val="sbb9ee52a"/>
          <w:u w:val="single"/>
        </w:rPr>
        <w:t>prie elektroninio proceso, viršijo tai, kas būtina, siekiant užtikrinti teisinį tikrumą ir tinkamą teisingumo vykdymą ir</w:t>
      </w:r>
      <w:r w:rsidRPr="000B71A1">
        <w:rPr>
          <w:rStyle w:val="sbb9ee52a"/>
          <w:u w:val="single"/>
        </w:rPr>
        <w:t xml:space="preserve"> sudarė kliūtis, kad pareiškėjų byla būtų išnagrinėta iš esmės kasaciniame teisme.</w:t>
      </w:r>
    </w:p>
    <w:p w14:paraId="5EACC025" w14:textId="77777777" w:rsidR="00045B4F" w:rsidRDefault="00045B4F" w:rsidP="00045B4F">
      <w:pPr>
        <w:spacing w:after="0" w:line="240" w:lineRule="auto"/>
        <w:ind w:firstLine="567"/>
        <w:jc w:val="both"/>
        <w:rPr>
          <w:rStyle w:val="sbb9ee52a"/>
        </w:rPr>
      </w:pPr>
      <w:r>
        <w:rPr>
          <w:rStyle w:val="sbb9ee52a"/>
        </w:rPr>
        <w:t>Apibendrindamas Teismas konstatavo, kad atsisakymas priimti pareiškėjų B ir C kasacinius skundus pažeidė jų teisę kreiptis į teismą.</w:t>
      </w:r>
    </w:p>
    <w:p w14:paraId="24543F95" w14:textId="77777777" w:rsidR="00045B4F" w:rsidRPr="004A5CF1" w:rsidRDefault="00045B4F" w:rsidP="00045B4F">
      <w:pPr>
        <w:spacing w:after="0" w:line="240" w:lineRule="auto"/>
        <w:jc w:val="both"/>
        <w:rPr>
          <w:rFonts w:cstheme="minorHAnsi"/>
          <w:highlight w:val="yellow"/>
        </w:rPr>
      </w:pPr>
    </w:p>
    <w:p w14:paraId="4F17FF6F" w14:textId="77777777" w:rsidR="00045B4F" w:rsidRPr="00A841C1" w:rsidRDefault="00045B4F" w:rsidP="00045B4F">
      <w:pPr>
        <w:spacing w:after="0" w:line="240" w:lineRule="auto"/>
        <w:ind w:firstLine="567"/>
        <w:jc w:val="both"/>
        <w:rPr>
          <w:rFonts w:cstheme="minorHAnsi"/>
        </w:rPr>
      </w:pPr>
      <w:r w:rsidRPr="00A841C1">
        <w:rPr>
          <w:rFonts w:cstheme="minorHAnsi"/>
        </w:rPr>
        <w:t xml:space="preserve">Išvada: </w:t>
      </w:r>
      <w:r>
        <w:t>pareiškėjų A atžvilgiu</w:t>
      </w:r>
      <w:r w:rsidRPr="00A841C1">
        <w:rPr>
          <w:rFonts w:cstheme="minorHAnsi"/>
        </w:rPr>
        <w:t xml:space="preserve"> Konvencijos 6 straipsnio 1 dalies pažeidimas nenustatytas (vienbalsiai).</w:t>
      </w:r>
    </w:p>
    <w:p w14:paraId="66AF2A07" w14:textId="77777777" w:rsidR="00045B4F" w:rsidRPr="00A841C1" w:rsidRDefault="00045B4F" w:rsidP="00045B4F">
      <w:pPr>
        <w:spacing w:after="0" w:line="240" w:lineRule="auto"/>
        <w:ind w:firstLine="567"/>
        <w:jc w:val="both"/>
        <w:rPr>
          <w:rFonts w:cstheme="minorHAnsi"/>
        </w:rPr>
      </w:pPr>
      <w:r>
        <w:rPr>
          <w:rFonts w:cstheme="minorHAnsi"/>
        </w:rPr>
        <w:t xml:space="preserve">Pareiškėjų B ir C atžvilgiu pripažintas </w:t>
      </w:r>
      <w:r w:rsidRPr="00A841C1">
        <w:rPr>
          <w:rFonts w:cstheme="minorHAnsi"/>
        </w:rPr>
        <w:t>Konvencijos 6 straipsnio 1 dalies pažeidimas (vienbalsiai).</w:t>
      </w:r>
    </w:p>
    <w:p w14:paraId="68EC2D2D" w14:textId="77777777" w:rsidR="00045B4F" w:rsidRPr="004A5CF1" w:rsidRDefault="00045B4F" w:rsidP="00045B4F">
      <w:pPr>
        <w:spacing w:after="0" w:line="240" w:lineRule="auto"/>
        <w:ind w:firstLine="567"/>
        <w:jc w:val="both"/>
        <w:rPr>
          <w:rFonts w:cstheme="minorHAnsi"/>
          <w:highlight w:val="yellow"/>
        </w:rPr>
      </w:pPr>
      <w:r w:rsidRPr="00A841C1">
        <w:rPr>
          <w:rFonts w:cstheme="minorHAnsi"/>
        </w:rPr>
        <w:t xml:space="preserve">41 straipsnis: </w:t>
      </w:r>
      <w:r>
        <w:rPr>
          <w:rFonts w:cstheme="minorHAnsi"/>
        </w:rPr>
        <w:t xml:space="preserve">pareiškėjams B </w:t>
      </w:r>
      <w:r w:rsidRPr="00A841C1">
        <w:rPr>
          <w:rFonts w:cstheme="minorHAnsi"/>
        </w:rPr>
        <w:t>priteistas 6 000</w:t>
      </w:r>
      <w:r>
        <w:rPr>
          <w:rFonts w:cstheme="minorHAnsi"/>
        </w:rPr>
        <w:t xml:space="preserve"> Eur neturtinės žalos atlyginimas.</w:t>
      </w:r>
    </w:p>
    <w:p w14:paraId="478E00FF" w14:textId="77777777" w:rsidR="00045B4F" w:rsidRDefault="00045B4F" w:rsidP="00045B4F">
      <w:pPr>
        <w:spacing w:after="0" w:line="240" w:lineRule="auto"/>
        <w:ind w:firstLine="567"/>
        <w:rPr>
          <w:rStyle w:val="Hipersaitas"/>
          <w:rFonts w:cstheme="minorHAnsi"/>
          <w:shd w:val="clear" w:color="auto" w:fill="FFFFFF"/>
        </w:rPr>
      </w:pPr>
      <w:hyperlink r:id="rId13" w:anchor="{%22itemid%22:[%22001-233737%22]}" w:history="1">
        <w:r w:rsidRPr="00C27604">
          <w:rPr>
            <w:rStyle w:val="Hipersaitas"/>
            <w:rFonts w:cstheme="minorHAnsi"/>
            <w:shd w:val="clear" w:color="auto" w:fill="FFFFFF"/>
          </w:rPr>
          <w:t>Prieiga internete</w:t>
        </w:r>
      </w:hyperlink>
    </w:p>
    <w:p w14:paraId="14D498F6" w14:textId="77777777" w:rsidR="00045B4F" w:rsidRDefault="00045B4F" w:rsidP="00350DC6">
      <w:pPr>
        <w:shd w:val="clear" w:color="auto" w:fill="FFFFFF"/>
        <w:spacing w:after="0" w:line="240" w:lineRule="auto"/>
        <w:ind w:right="-1"/>
        <w:rPr>
          <w:rFonts w:ascii="Calibri" w:eastAsia="Times New Roman" w:hAnsi="Calibri" w:cs="Calibri"/>
          <w:b/>
        </w:rPr>
      </w:pPr>
    </w:p>
    <w:p w14:paraId="69F2798E" w14:textId="77777777" w:rsidR="005A0365" w:rsidRPr="00EC0AA7" w:rsidRDefault="005A0365" w:rsidP="005A0365">
      <w:pPr>
        <w:pStyle w:val="Betarp"/>
        <w:jc w:val="center"/>
        <w:rPr>
          <w:b/>
          <w:bCs/>
        </w:rPr>
      </w:pPr>
      <w:bookmarkStart w:id="12" w:name="_Hlk100847088"/>
      <w:r w:rsidRPr="00EC0AA7">
        <w:rPr>
          <w:b/>
          <w:bCs/>
        </w:rPr>
        <w:t>Europos Žmogaus Teisių Teismo 202</w:t>
      </w:r>
      <w:r>
        <w:rPr>
          <w:b/>
          <w:bCs/>
        </w:rPr>
        <w:t>4</w:t>
      </w:r>
      <w:r w:rsidRPr="00EC0AA7">
        <w:rPr>
          <w:b/>
          <w:bCs/>
        </w:rPr>
        <w:t xml:space="preserve"> m. </w:t>
      </w:r>
      <w:r>
        <w:rPr>
          <w:b/>
          <w:bCs/>
        </w:rPr>
        <w:t xml:space="preserve">birželio 24 </w:t>
      </w:r>
      <w:r w:rsidRPr="00EC0AA7">
        <w:rPr>
          <w:b/>
          <w:bCs/>
        </w:rPr>
        <w:t>d. sprendimas byloje</w:t>
      </w:r>
      <w:bookmarkStart w:id="13" w:name="_Toc52184418"/>
    </w:p>
    <w:p w14:paraId="162E3F57" w14:textId="77777777" w:rsidR="005A0365" w:rsidRPr="005A0365" w:rsidRDefault="005A0365" w:rsidP="005A0365">
      <w:pPr>
        <w:keepNext/>
        <w:keepLines/>
        <w:spacing w:after="0" w:line="240" w:lineRule="auto"/>
        <w:jc w:val="center"/>
        <w:outlineLvl w:val="1"/>
        <w:rPr>
          <w:rFonts w:ascii="Calibri" w:eastAsia="Times New Roman" w:hAnsi="Calibri" w:cs="Times New Roman"/>
          <w:b/>
          <w:bCs/>
          <w:i/>
          <w:iCs/>
          <w:color w:val="2E74B5"/>
        </w:rPr>
      </w:pPr>
      <w:bookmarkStart w:id="14" w:name="_Toc181709486"/>
      <w:bookmarkEnd w:id="13"/>
      <w:r w:rsidRPr="005A0365">
        <w:rPr>
          <w:rFonts w:ascii="Calibri" w:eastAsia="Times New Roman" w:hAnsi="Calibri" w:cs="Times New Roman"/>
          <w:b/>
          <w:bCs/>
          <w:i/>
          <w:iCs/>
          <w:color w:val="2E74B5"/>
        </w:rPr>
        <w:t>Kurkut ir kt. prieš Turkiją</w:t>
      </w:r>
      <w:bookmarkEnd w:id="14"/>
      <w:r w:rsidRPr="005A0365">
        <w:rPr>
          <w:rFonts w:ascii="Calibri" w:eastAsia="Times New Roman" w:hAnsi="Calibri" w:cs="Times New Roman"/>
          <w:b/>
          <w:bCs/>
          <w:i/>
          <w:iCs/>
          <w:color w:val="2E74B5"/>
        </w:rPr>
        <w:t xml:space="preserve"> </w:t>
      </w:r>
    </w:p>
    <w:p w14:paraId="07409EA9" w14:textId="77777777" w:rsidR="005A0365" w:rsidRPr="00EC0AA7" w:rsidRDefault="005A0365" w:rsidP="005A0365">
      <w:pPr>
        <w:pStyle w:val="Betarp"/>
        <w:jc w:val="center"/>
        <w:rPr>
          <w:b/>
          <w:bCs/>
        </w:rPr>
      </w:pPr>
      <w:r w:rsidRPr="00EC0AA7">
        <w:rPr>
          <w:b/>
          <w:bCs/>
        </w:rPr>
        <w:t xml:space="preserve">(pareiškimo Nr. </w:t>
      </w:r>
      <w:r w:rsidRPr="00110B83">
        <w:rPr>
          <w:b/>
          <w:bCs/>
        </w:rPr>
        <w:t>58901/19</w:t>
      </w:r>
      <w:r>
        <w:rPr>
          <w:b/>
          <w:bCs/>
        </w:rPr>
        <w:t xml:space="preserve"> ir kt.</w:t>
      </w:r>
      <w:r w:rsidRPr="00EB6EF8">
        <w:rPr>
          <w:b/>
          <w:bCs/>
        </w:rPr>
        <w:t xml:space="preserve">, svarbos lygis – </w:t>
      </w:r>
      <w:r>
        <w:rPr>
          <w:b/>
          <w:bCs/>
        </w:rPr>
        <w:t>2</w:t>
      </w:r>
      <w:r w:rsidRPr="00EB6EF8">
        <w:rPr>
          <w:b/>
          <w:bCs/>
        </w:rPr>
        <w:t>)</w:t>
      </w:r>
    </w:p>
    <w:p w14:paraId="551379C2" w14:textId="77777777" w:rsidR="005A0365" w:rsidRDefault="005A0365" w:rsidP="005A0365">
      <w:pPr>
        <w:pStyle w:val="Betarp"/>
      </w:pPr>
    </w:p>
    <w:p w14:paraId="6732E270" w14:textId="77777777" w:rsidR="005A0365" w:rsidRPr="005A0365" w:rsidRDefault="005A0365" w:rsidP="005A0365">
      <w:pPr>
        <w:keepNext/>
        <w:keepLines/>
        <w:spacing w:after="0" w:line="240" w:lineRule="auto"/>
        <w:ind w:firstLine="567"/>
        <w:jc w:val="both"/>
        <w:outlineLvl w:val="2"/>
        <w:rPr>
          <w:rFonts w:ascii="Calibri" w:eastAsia="Times New Roman" w:hAnsi="Calibri" w:cs="Times New Roman"/>
          <w:i/>
          <w:szCs w:val="24"/>
        </w:rPr>
      </w:pPr>
      <w:bookmarkStart w:id="15" w:name="_Toc181709487"/>
      <w:r w:rsidRPr="005A0365">
        <w:rPr>
          <w:rFonts w:ascii="Calibri" w:eastAsia="Times New Roman" w:hAnsi="Calibri" w:cs="Times New Roman"/>
          <w:i/>
          <w:szCs w:val="24"/>
        </w:rPr>
        <w:t>Dėl teismo pareigos atlikti išsamią asmens patikimumo patikros duomenų, su kuriais asmuo nėra supažindinamas ir kuriais remiantis toks asmuo nepriimamas į valstybės tarnybą valstybėje paskelbtos nepaprastosios padėties metu, teisminę kontrolę</w:t>
      </w:r>
      <w:bookmarkEnd w:id="15"/>
      <w:r w:rsidRPr="005A0365">
        <w:rPr>
          <w:rFonts w:ascii="Calibri" w:eastAsia="Times New Roman" w:hAnsi="Calibri" w:cs="Times New Roman"/>
          <w:i/>
          <w:szCs w:val="24"/>
        </w:rPr>
        <w:t xml:space="preserve"> </w:t>
      </w:r>
    </w:p>
    <w:bookmarkEnd w:id="12"/>
    <w:p w14:paraId="2625D029" w14:textId="77777777" w:rsidR="005A0365" w:rsidRDefault="005A0365" w:rsidP="005A0365">
      <w:pPr>
        <w:pStyle w:val="Betarp"/>
        <w:jc w:val="both"/>
      </w:pPr>
    </w:p>
    <w:p w14:paraId="13AF76D6" w14:textId="77777777" w:rsidR="005A0365" w:rsidRPr="00721DF7" w:rsidRDefault="005A0365" w:rsidP="005A0365">
      <w:pPr>
        <w:pStyle w:val="Betarp"/>
        <w:jc w:val="center"/>
        <w:rPr>
          <w:b/>
          <w:bCs/>
        </w:rPr>
      </w:pPr>
      <w:r w:rsidRPr="00721DF7">
        <w:rPr>
          <w:b/>
          <w:bCs/>
        </w:rPr>
        <w:t>Faktinės aplinkybės</w:t>
      </w:r>
    </w:p>
    <w:p w14:paraId="4D6E9D39" w14:textId="77777777" w:rsidR="005A0365" w:rsidRDefault="005A0365" w:rsidP="005A0365">
      <w:pPr>
        <w:pStyle w:val="Betarp"/>
        <w:jc w:val="both"/>
      </w:pPr>
    </w:p>
    <w:p w14:paraId="2792775D" w14:textId="0FC5755C" w:rsidR="005A0365" w:rsidRDefault="005A0365" w:rsidP="005A0365">
      <w:pPr>
        <w:pStyle w:val="Betarp"/>
        <w:ind w:firstLine="567"/>
        <w:jc w:val="both"/>
      </w:pPr>
      <w:r>
        <w:t>Pareiškėjai kandidatavo į pareigas Turkijos valstybinėse institucijose, atitiko visus formalius reikalavimus pareigoms, į kurias kandidatavo, užimti, tačiau į pareigas nebuvo priimti dėl neigiamų patikimumo (biografijos) patikros rezultatų, su kuriais pareiškėjai nebuvo supažindinti. Reikalavimas kandidatams į pareigas valstybinėse Turkijos institucijose atlikti patikimumo patikras buvo nustatytas</w:t>
      </w:r>
      <w:r w:rsidRPr="00866A25">
        <w:t xml:space="preserve"> nepaprastosios padėties, įvestos po bandymo įvykdyti valstybės perversmą, metu nuo 2016 m. liepos 21 d. iki 2018 m. liepos 18 d.</w:t>
      </w:r>
    </w:p>
    <w:p w14:paraId="38F9F497" w14:textId="23DD7703" w:rsidR="005A0365" w:rsidRDefault="005A0365" w:rsidP="005A0365">
      <w:pPr>
        <w:pStyle w:val="Betarp"/>
        <w:ind w:firstLine="567"/>
        <w:jc w:val="both"/>
      </w:pPr>
      <w:r>
        <w:t xml:space="preserve">Pareiškėjai sprendimus nepriimti jų į tarnybą valstybinėse institucijose apskundė nacionaliniams teismams, teigdami, kad šiuose sprendimuose </w:t>
      </w:r>
      <w:r w:rsidRPr="00E43E49">
        <w:t>ne</w:t>
      </w:r>
      <w:r>
        <w:t xml:space="preserve">buvo </w:t>
      </w:r>
      <w:r w:rsidRPr="00E43E49">
        <w:t>nurod</w:t>
      </w:r>
      <w:r>
        <w:t>ytos</w:t>
      </w:r>
      <w:r w:rsidRPr="00E43E49">
        <w:t xml:space="preserve"> </w:t>
      </w:r>
      <w:r>
        <w:t>konkrečios nepriėmimo į tarnybą</w:t>
      </w:r>
      <w:r w:rsidRPr="00E43E49">
        <w:t xml:space="preserve"> priežas</w:t>
      </w:r>
      <w:r>
        <w:t>tys. Nacionaliniai teismai pareiškėjų skundus atmetė</w:t>
      </w:r>
      <w:r w:rsidR="00002872">
        <w:t>,</w:t>
      </w:r>
      <w:r>
        <w:t xml:space="preserve"> konstatavę, jog </w:t>
      </w:r>
      <w:r w:rsidRPr="007556A1">
        <w:t>informacija, kurią atskleidė pareiškėj</w:t>
      </w:r>
      <w:r>
        <w:t>ų</w:t>
      </w:r>
      <w:r w:rsidRPr="007556A1">
        <w:t xml:space="preserve"> patikrinimas, pateisino sprendim</w:t>
      </w:r>
      <w:r>
        <w:t>us</w:t>
      </w:r>
      <w:r w:rsidRPr="007556A1">
        <w:t xml:space="preserve"> atsisakyti skirti j</w:t>
      </w:r>
      <w:r>
        <w:t>uos</w:t>
      </w:r>
      <w:r w:rsidRPr="007556A1">
        <w:t xml:space="preserve"> į </w:t>
      </w:r>
      <w:r>
        <w:t xml:space="preserve">tokią </w:t>
      </w:r>
      <w:r w:rsidRPr="007556A1">
        <w:t>tarnyb</w:t>
      </w:r>
      <w:r>
        <w:t>ą.</w:t>
      </w:r>
    </w:p>
    <w:p w14:paraId="68291B78" w14:textId="3A4C6598" w:rsidR="005A0365" w:rsidRDefault="005A0365" w:rsidP="005A0365">
      <w:pPr>
        <w:pStyle w:val="Betarp"/>
        <w:ind w:firstLine="567"/>
        <w:jc w:val="both"/>
      </w:pPr>
      <w:r>
        <w:t>Pareiškėjai EŽTT peticijoje nurodė, kad</w:t>
      </w:r>
      <w:r w:rsidRPr="00C975DB">
        <w:t xml:space="preserve"> </w:t>
      </w:r>
      <w:r>
        <w:t xml:space="preserve">nacionaliniai </w:t>
      </w:r>
      <w:r w:rsidRPr="00C975DB">
        <w:t xml:space="preserve">teismai </w:t>
      </w:r>
      <w:r>
        <w:t>netinkamai</w:t>
      </w:r>
      <w:r w:rsidRPr="00C975DB">
        <w:t xml:space="preserve"> išnagrinėjo byl</w:t>
      </w:r>
      <w:r>
        <w:t>as pagal jų skundus,</w:t>
      </w:r>
      <w:r w:rsidRPr="00C975DB">
        <w:t xml:space="preserve"> nebuvo užtikrinti sąžiningumo, rungimosi bei šalių lygybės principai</w:t>
      </w:r>
      <w:r>
        <w:t xml:space="preserve">, </w:t>
      </w:r>
      <w:r w:rsidRPr="00C975DB">
        <w:t xml:space="preserve">nacionaliniai teismai </w:t>
      </w:r>
      <w:r>
        <w:t xml:space="preserve">nevykdė veiksmingos </w:t>
      </w:r>
      <w:r w:rsidRPr="00C975DB">
        <w:t>atitinkam</w:t>
      </w:r>
      <w:r>
        <w:t>us sprendimus priėmusių</w:t>
      </w:r>
      <w:r w:rsidRPr="00C975DB">
        <w:t xml:space="preserve"> administracinių institucijų </w:t>
      </w:r>
      <w:r w:rsidRPr="003A5AB7">
        <w:t xml:space="preserve">kaltinimų, </w:t>
      </w:r>
      <w:r>
        <w:t>esą</w:t>
      </w:r>
      <w:r w:rsidRPr="003A5AB7">
        <w:t xml:space="preserve"> </w:t>
      </w:r>
      <w:r>
        <w:t>pareiškėjai</w:t>
      </w:r>
      <w:r w:rsidRPr="003A5AB7">
        <w:t xml:space="preserve"> buvo įsitraukę į neteisėtą veiklą</w:t>
      </w:r>
      <w:r>
        <w:t>, teisminės kontrolės</w:t>
      </w:r>
      <w:r w:rsidRPr="00C975DB">
        <w:t>.</w:t>
      </w:r>
      <w:r>
        <w:t xml:space="preserve"> </w:t>
      </w:r>
      <w:r w:rsidRPr="00EE0128">
        <w:t>Dėl šių priežasčių</w:t>
      </w:r>
      <w:r>
        <w:t>, pareiškėjų teigimu,</w:t>
      </w:r>
      <w:r w:rsidRPr="00EE0128">
        <w:t xml:space="preserve"> buvo pažeista Konvencijos </w:t>
      </w:r>
      <w:r>
        <w:t>6 </w:t>
      </w:r>
      <w:r w:rsidRPr="00EE0128">
        <w:t>straipsni</w:t>
      </w:r>
      <w:r>
        <w:t>o 1 dalis</w:t>
      </w:r>
      <w:r w:rsidRPr="00EE0128">
        <w:t>.</w:t>
      </w:r>
    </w:p>
    <w:p w14:paraId="0C0FC9E7" w14:textId="77777777" w:rsidR="005A0365" w:rsidRDefault="005A0365" w:rsidP="005A0365">
      <w:pPr>
        <w:pStyle w:val="Betarp"/>
        <w:jc w:val="both"/>
      </w:pPr>
    </w:p>
    <w:p w14:paraId="54C14755" w14:textId="77777777" w:rsidR="005A0365" w:rsidRPr="00536624" w:rsidRDefault="005A0365" w:rsidP="005A0365">
      <w:pPr>
        <w:shd w:val="clear" w:color="auto" w:fill="FFFFFF"/>
        <w:spacing w:after="0" w:line="240" w:lineRule="auto"/>
        <w:ind w:right="-1"/>
        <w:jc w:val="center"/>
        <w:rPr>
          <w:rFonts w:eastAsia="Times New Roman" w:cstheme="minorHAnsi"/>
          <w:b/>
          <w:bCs/>
          <w:color w:val="000000"/>
        </w:rPr>
      </w:pPr>
      <w:bookmarkStart w:id="16" w:name="_Hlk101347967"/>
      <w:r w:rsidRPr="00536624">
        <w:rPr>
          <w:rFonts w:eastAsia="Times New Roman" w:cstheme="minorHAnsi"/>
          <w:b/>
          <w:bCs/>
          <w:color w:val="000000"/>
        </w:rPr>
        <w:t>Neoficiali Teismo sprendimo apžvalga</w:t>
      </w:r>
    </w:p>
    <w:bookmarkEnd w:id="16"/>
    <w:p w14:paraId="15DA6C5C" w14:textId="3E785866" w:rsidR="005A0365" w:rsidRDefault="005A0365" w:rsidP="005A0365">
      <w:pPr>
        <w:pStyle w:val="Betarp"/>
        <w:ind w:firstLine="567"/>
        <w:jc w:val="both"/>
      </w:pPr>
    </w:p>
    <w:p w14:paraId="777BCF26" w14:textId="77777777" w:rsidR="005A0365" w:rsidRDefault="005A0365" w:rsidP="005A0365">
      <w:pPr>
        <w:pStyle w:val="Betarp"/>
        <w:ind w:firstLine="567"/>
        <w:jc w:val="both"/>
      </w:pPr>
      <w:r>
        <w:t xml:space="preserve">EŽTT pirmiausiai pabrėžė, kad </w:t>
      </w:r>
      <w:r w:rsidRPr="00612374">
        <w:t>jis negali Konvencijos 6 straipsnio 1 dalies kontekste nustatyti, ar administracinių institucijų atsisakymas skirti pareiškėjus į tarnybą valstybės</w:t>
      </w:r>
      <w:r>
        <w:t xml:space="preserve"> institucijose</w:t>
      </w:r>
      <w:r w:rsidRPr="00612374">
        <w:t xml:space="preserve"> buvo teisėtas </w:t>
      </w:r>
      <w:r>
        <w:t>ir / ar</w:t>
      </w:r>
      <w:r w:rsidRPr="00612374">
        <w:t xml:space="preserve"> pagrįstas</w:t>
      </w:r>
      <w:r>
        <w:t xml:space="preserve"> bei</w:t>
      </w:r>
      <w:r w:rsidRPr="00612374">
        <w:t xml:space="preserve"> ar </w:t>
      </w:r>
      <w:r>
        <w:t xml:space="preserve">nacionalinių </w:t>
      </w:r>
      <w:r w:rsidRPr="00612374">
        <w:t>administracinių teismų sprendimai dėl t</w:t>
      </w:r>
      <w:r>
        <w:t>o</w:t>
      </w:r>
      <w:r w:rsidRPr="00612374">
        <w:t xml:space="preserve"> buvo teisingi Turkijos teisės požiūriu. Teismo užduotis apsiriboja patikrinimu, ar vidaus procesas buvo teisingas ir ar kitaip atitiko Konvencijos 6</w:t>
      </w:r>
      <w:r>
        <w:t> </w:t>
      </w:r>
      <w:r w:rsidRPr="00612374">
        <w:t>straipsnio 1 dalies reikalavimus</w:t>
      </w:r>
      <w:r>
        <w:t xml:space="preserve">. </w:t>
      </w:r>
    </w:p>
    <w:p w14:paraId="63C6DAD1" w14:textId="299520B4" w:rsidR="005A0365" w:rsidRDefault="005A0365" w:rsidP="005A0365">
      <w:pPr>
        <w:pStyle w:val="Betarp"/>
        <w:ind w:firstLine="567"/>
        <w:jc w:val="both"/>
      </w:pPr>
      <w:r>
        <w:t xml:space="preserve">Byloje pažymėta, jog sprendimus nepriimti pareiškėjų į pareigas valstybinėse institucijose priėmusi </w:t>
      </w:r>
      <w:r w:rsidRPr="00A13CBF">
        <w:t xml:space="preserve">administracija pareiškėjams neatskleidė viso asmens patikrinimų turinio arba konkrečių faktinių priežasčių, kuriomis </w:t>
      </w:r>
      <w:r>
        <w:t>buvo</w:t>
      </w:r>
      <w:r w:rsidRPr="00A13CBF">
        <w:t xml:space="preserve"> grind</w:t>
      </w:r>
      <w:r>
        <w:t>žiamas</w:t>
      </w:r>
      <w:r w:rsidRPr="00A13CBF">
        <w:t xml:space="preserve"> </w:t>
      </w:r>
      <w:r>
        <w:t xml:space="preserve">pareiškėjų </w:t>
      </w:r>
      <w:r w:rsidRPr="00A13CBF">
        <w:t>vertinim</w:t>
      </w:r>
      <w:r>
        <w:t>as</w:t>
      </w:r>
      <w:r w:rsidRPr="00A13CBF">
        <w:t xml:space="preserve">. </w:t>
      </w:r>
      <w:r>
        <w:t>Be to</w:t>
      </w:r>
      <w:r w:rsidRPr="00A13CBF">
        <w:t>, nors administracinio teismo proceso metu bylą nagrinėję</w:t>
      </w:r>
      <w:r>
        <w:t xml:space="preserve"> nacionaliniai</w:t>
      </w:r>
      <w:r w:rsidRPr="00A13CBF">
        <w:t xml:space="preserve"> teismai savo iniciatyva gavo informaciją apie ginčijamus asmen</w:t>
      </w:r>
      <w:r>
        <w:t>ų</w:t>
      </w:r>
      <w:r w:rsidRPr="00A13CBF">
        <w:t xml:space="preserve"> patikrinimus, jie šios informacijos pareiškėjams neperdavė</w:t>
      </w:r>
      <w:r>
        <w:t>,</w:t>
      </w:r>
      <w:r w:rsidRPr="00A13CBF">
        <w:t xml:space="preserve"> neprašė jų pastabų dėl konkrečių kaltinimų. Dar svarbiau tai, kad administracini</w:t>
      </w:r>
      <w:r>
        <w:t>ai</w:t>
      </w:r>
      <w:r w:rsidRPr="00A13CBF">
        <w:t xml:space="preserve"> teism</w:t>
      </w:r>
      <w:r>
        <w:t>ai</w:t>
      </w:r>
      <w:r w:rsidRPr="00A13CBF">
        <w:t xml:space="preserve"> neįvertino, ar visa perduota informacija ar dalis jos visų pirma buvo įslaptinta ir, jei taip, ar nacionalinio saugumo interesai pateisin</w:t>
      </w:r>
      <w:r>
        <w:t>o</w:t>
      </w:r>
      <w:r w:rsidRPr="00A13CBF">
        <w:t xml:space="preserve"> jos neatskleidimą pareiškėja</w:t>
      </w:r>
      <w:r>
        <w:t>ms</w:t>
      </w:r>
      <w:r w:rsidRPr="00A13CBF">
        <w:t xml:space="preserve">. Šiuo </w:t>
      </w:r>
      <w:r>
        <w:t>aspektu</w:t>
      </w:r>
      <w:r w:rsidRPr="00A13CBF">
        <w:t xml:space="preserve"> Teismas </w:t>
      </w:r>
      <w:r>
        <w:t>priminė</w:t>
      </w:r>
      <w:r w:rsidRPr="00A13CBF">
        <w:t xml:space="preserve">, </w:t>
      </w:r>
      <w:r>
        <w:t>jog</w:t>
      </w:r>
      <w:r w:rsidRPr="00A13CBF">
        <w:t xml:space="preserve"> </w:t>
      </w:r>
      <w:r w:rsidRPr="005C2E79">
        <w:rPr>
          <w:u w:val="single"/>
        </w:rPr>
        <w:t xml:space="preserve">tam, kad </w:t>
      </w:r>
      <w:r w:rsidRPr="00DE5BBC">
        <w:rPr>
          <w:u w:val="single"/>
        </w:rPr>
        <w:t xml:space="preserve">įrodymų neatskleidimas proceso šaliai būtų priimtinas, teismai turi ne tik turėti įgaliojimus patys ištirti įrodymus, bet ir gebėti išsamiai įvertinti priežastis, kuriomis valdžios institucija remiasi </w:t>
      </w:r>
      <w:r w:rsidRPr="00DE5BBC">
        <w:rPr>
          <w:u w:val="single"/>
        </w:rPr>
        <w:lastRenderedPageBreak/>
        <w:t xml:space="preserve">neskelbdama įslaptintų dokumentų, bei nurodyti atskleisti tuos duomenis, kurie, jų manymu, neturėtų būti klasifikuojami, kaip slapti. Atsižvelgiant į tai, kad administraciniai teismai nagrinėjamu atveju tokio vertinimo neatliko, padaryta išvada, jog teismai </w:t>
      </w:r>
      <w:r w:rsidR="005C2E79">
        <w:rPr>
          <w:u w:val="single"/>
        </w:rPr>
        <w:t>ne</w:t>
      </w:r>
      <w:r w:rsidRPr="00DE5BBC">
        <w:rPr>
          <w:u w:val="single"/>
        </w:rPr>
        <w:t>suteikė pareiškėjams pakankam</w:t>
      </w:r>
      <w:r w:rsidR="005C2E79">
        <w:rPr>
          <w:u w:val="single"/>
        </w:rPr>
        <w:t>ų</w:t>
      </w:r>
      <w:r w:rsidRPr="00DE5BBC">
        <w:rPr>
          <w:u w:val="single"/>
        </w:rPr>
        <w:t xml:space="preserve"> garantij</w:t>
      </w:r>
      <w:r w:rsidR="005C2E79">
        <w:rPr>
          <w:u w:val="single"/>
        </w:rPr>
        <w:t>ų</w:t>
      </w:r>
      <w:r w:rsidRPr="00DE5BBC">
        <w:rPr>
          <w:u w:val="single"/>
        </w:rPr>
        <w:t>, kompensuojanči</w:t>
      </w:r>
      <w:r w:rsidR="005C2E79">
        <w:rPr>
          <w:u w:val="single"/>
        </w:rPr>
        <w:t>ų</w:t>
      </w:r>
      <w:r w:rsidRPr="00DE5BBC">
        <w:rPr>
          <w:u w:val="single"/>
        </w:rPr>
        <w:t xml:space="preserve"> įrodymų neatskleidimą</w:t>
      </w:r>
      <w:r w:rsidRPr="00AD5AD9">
        <w:t>.</w:t>
      </w:r>
    </w:p>
    <w:p w14:paraId="5EC5610F" w14:textId="792AE7A8" w:rsidR="005A0365" w:rsidRDefault="005A0365" w:rsidP="005A0365">
      <w:pPr>
        <w:pStyle w:val="Betarp"/>
        <w:ind w:firstLine="567"/>
        <w:jc w:val="both"/>
      </w:pPr>
      <w:r>
        <w:t xml:space="preserve">Be to, </w:t>
      </w:r>
      <w:r w:rsidRPr="008A30F1">
        <w:rPr>
          <w:u w:val="single"/>
        </w:rPr>
        <w:t>nagrinėjant bylas nacionaliniuose pirmosios instancijos teismuose pareiškėjams nebuvo suteikta informacija apie konkrečius jų neigiamo asmens vertinimo faktinius pagrindus, todėl jų gynyba praktiškai buvo neveiksminga</w:t>
      </w:r>
      <w:r w:rsidRPr="00260838">
        <w:t xml:space="preserve">. Kai kurie iš </w:t>
      </w:r>
      <w:r>
        <w:t>pareiškė</w:t>
      </w:r>
      <w:r w:rsidRPr="00260838">
        <w:t xml:space="preserve">jų savo neigiamo vertinimo faktinius pagrindus sužinojo po to, kai teismai priėmė sprendimą jų bylose. </w:t>
      </w:r>
      <w:r w:rsidRPr="008A30F1">
        <w:rPr>
          <w:u w:val="single"/>
        </w:rPr>
        <w:t>EŽTT vertinimu, tokiu atveju nacionalinių teismų atliekamam ginčijamų sprendimų pagrįstumo patikrinimui turėtų būti taikomas dar aukštesnis išsamumo standartas</w:t>
      </w:r>
      <w:r>
        <w:t>. Šiuo aspektu atkreiptas dėmesys</w:t>
      </w:r>
      <w:r w:rsidRPr="00260838">
        <w:t xml:space="preserve">, kad administracinių teismų sprendimuose </w:t>
      </w:r>
      <w:r>
        <w:t>buvo mažai argumentų</w:t>
      </w:r>
      <w:r w:rsidRPr="00260838">
        <w:t xml:space="preserve">, </w:t>
      </w:r>
      <w:r>
        <w:t>atskleidži</w:t>
      </w:r>
      <w:r w:rsidRPr="00260838">
        <w:t>ančių, koki</w:t>
      </w:r>
      <w:r>
        <w:t xml:space="preserve">a apimtimi </w:t>
      </w:r>
      <w:r w:rsidRPr="00260838">
        <w:t xml:space="preserve">teismai tikrino iš atitinkamų administracinių institucijų gautų faktų teisingumą ir patikimumą. </w:t>
      </w:r>
      <w:r>
        <w:t>I</w:t>
      </w:r>
      <w:r w:rsidRPr="00260838">
        <w:t>š sprendimų</w:t>
      </w:r>
      <w:r>
        <w:t xml:space="preserve"> taip pat</w:t>
      </w:r>
      <w:r w:rsidRPr="00260838">
        <w:t xml:space="preserve"> </w:t>
      </w:r>
      <w:r w:rsidR="005C2E79">
        <w:t>nebuvo</w:t>
      </w:r>
      <w:r w:rsidRPr="00260838">
        <w:t xml:space="preserve"> aišku, </w:t>
      </w:r>
      <w:r>
        <w:t>ar</w:t>
      </w:r>
      <w:r w:rsidRPr="00260838">
        <w:t xml:space="preserve"> administraciniai teismai įvertino pareiškėjų teiginius</w:t>
      </w:r>
      <w:r>
        <w:t xml:space="preserve"> dėl to</w:t>
      </w:r>
      <w:r w:rsidRPr="00260838">
        <w:t xml:space="preserve">, </w:t>
      </w:r>
      <w:r>
        <w:t>kad</w:t>
      </w:r>
      <w:r w:rsidRPr="00260838">
        <w:t xml:space="preserve"> jie neturėjo teistumo</w:t>
      </w:r>
      <w:r>
        <w:t>,</w:t>
      </w:r>
      <w:r w:rsidRPr="00260838">
        <w:t xml:space="preserve"> </w:t>
      </w:r>
      <w:r>
        <w:t>kad dėl jų veiksmų</w:t>
      </w:r>
      <w:r w:rsidRPr="00260838">
        <w:t xml:space="preserve"> nebuvo pradėtas tyrimas</w:t>
      </w:r>
      <w:r>
        <w:t xml:space="preserve"> ir</w:t>
      </w:r>
      <w:r w:rsidRPr="00260838">
        <w:t xml:space="preserve"> kad administracinės institucijos rėmėsi </w:t>
      </w:r>
      <w:r>
        <w:t xml:space="preserve">netinkamomis teisės normomis. </w:t>
      </w:r>
    </w:p>
    <w:p w14:paraId="5529742F" w14:textId="77777777" w:rsidR="005A0365" w:rsidRDefault="005A0365" w:rsidP="005A0365">
      <w:pPr>
        <w:pStyle w:val="Betarp"/>
        <w:ind w:firstLine="567"/>
        <w:jc w:val="both"/>
      </w:pPr>
      <w:r>
        <w:t xml:space="preserve">Atsižvelgęs į nustatytas aplinkybes, EŽTT darė išvadą, kad nacionaliniai teismai veiksmingai ir tinkamai nepasinaudojo jiems šiuo tikslu suteiktomis galiomis. </w:t>
      </w:r>
      <w:r w:rsidRPr="00FB5CD5">
        <w:rPr>
          <w:u w:val="single"/>
        </w:rPr>
        <w:t>Nors po bandymo įvykdyti perversmą galėjo prireikti įvesti asmens patikimumo patikrinimą, kaip papildomą kriterijų stojant į valstybės tarnybą, nustatytasis nacionalinis reglamentavimas neįtvirtino jokių apribojimų nacionalinių teismų vykdomai teisminei kontrolei po to, kai atitinkamus asmenis atsisakyta paskirti į tokią tarnybą dėl neigiamų asmens patikimumo vertinimo rezultatų</w:t>
      </w:r>
      <w:r>
        <w:t>. Be to, nė vienas iš nacionalinių teismų, įskaitant Konstitucinį Teismą, nagrinėdamas pareiškėjų bylas nepaprastosios padėties</w:t>
      </w:r>
      <w:r w:rsidRPr="0097516B">
        <w:t xml:space="preserve"> </w:t>
      </w:r>
      <w:r>
        <w:t>nenurodė, kaip trukdančios jiems visapusiškai įvertinti skundų pagrįstumą. Šiomis aplinkybėmis teisingo bylos nagrinėjimo reikalavimų nesilaikymas negali būti pateisinamas leidimu dėl nepaprastosios padėties įvedimo laikinai nukrypti nuo Konvencijos 6 straipsnio nuostatų.</w:t>
      </w:r>
    </w:p>
    <w:p w14:paraId="325B12F4" w14:textId="77777777" w:rsidR="005A0365" w:rsidRDefault="005A0365" w:rsidP="005A0365">
      <w:pPr>
        <w:pStyle w:val="Betarp"/>
        <w:jc w:val="both"/>
      </w:pPr>
    </w:p>
    <w:p w14:paraId="6AF2F959" w14:textId="30FF3CCF" w:rsidR="005A0365" w:rsidRDefault="005A0365" w:rsidP="005A0365">
      <w:pPr>
        <w:pStyle w:val="Betarp"/>
        <w:ind w:firstLine="567"/>
        <w:jc w:val="both"/>
      </w:pPr>
      <w:r>
        <w:t xml:space="preserve">Išvada: </w:t>
      </w:r>
      <w:r w:rsidR="00A23A8D">
        <w:t>n</w:t>
      </w:r>
      <w:r>
        <w:t>ustatytas Konvencijos 6 straipsnio 1 dalies pažeidimas (vienbalsiai).</w:t>
      </w:r>
    </w:p>
    <w:p w14:paraId="0654BBF4" w14:textId="4E1AE636" w:rsidR="005A0365" w:rsidRDefault="00A23A8D" w:rsidP="005A0365">
      <w:pPr>
        <w:pStyle w:val="Betarp"/>
        <w:ind w:firstLine="567"/>
        <w:jc w:val="both"/>
      </w:pPr>
      <w:r>
        <w:t>41 straipsnis: k</w:t>
      </w:r>
      <w:r w:rsidR="005A0365">
        <w:t>iekvienam pareiškėjui priteista po 2</w:t>
      </w:r>
      <w:r w:rsidR="005A0365" w:rsidRPr="00270608">
        <w:t xml:space="preserve"> 000 Eur neturtinei žalai</w:t>
      </w:r>
      <w:r w:rsidR="005A0365">
        <w:t xml:space="preserve"> </w:t>
      </w:r>
      <w:r w:rsidR="005A0365" w:rsidRPr="00270608">
        <w:t>atlyginti</w:t>
      </w:r>
      <w:r w:rsidR="005A0365">
        <w:t>.</w:t>
      </w:r>
    </w:p>
    <w:p w14:paraId="7BBB336A" w14:textId="77777777" w:rsidR="005A0365" w:rsidRDefault="005A0365" w:rsidP="005A0365">
      <w:pPr>
        <w:pStyle w:val="Betarp"/>
        <w:ind w:firstLine="567"/>
        <w:jc w:val="both"/>
      </w:pPr>
      <w:r w:rsidRPr="00EE0FC1">
        <w:t>Pateikt</w:t>
      </w:r>
      <w:r>
        <w:t xml:space="preserve">a </w:t>
      </w:r>
      <w:r w:rsidRPr="00EE0FC1">
        <w:t>atskiro</w:t>
      </w:r>
      <w:r>
        <w:t>ji</w:t>
      </w:r>
      <w:r w:rsidRPr="00EE0FC1">
        <w:t xml:space="preserve"> nuomonė.</w:t>
      </w:r>
    </w:p>
    <w:p w14:paraId="57B0570D" w14:textId="77777777" w:rsidR="005A0365" w:rsidRDefault="005A0365" w:rsidP="005A0365">
      <w:pPr>
        <w:pStyle w:val="Betarp"/>
        <w:ind w:firstLine="567"/>
        <w:jc w:val="both"/>
      </w:pPr>
      <w:hyperlink r:id="rId14" w:anchor="{%22fulltext%22:[%22kurkut%22],%22documentcollectionid2%22:[%22GRANDCHAMBER%22,%22CHAMBER%22],%22itemid%22:[%22001-234418%22]}" w:history="1">
        <w:r w:rsidRPr="00D55E99">
          <w:rPr>
            <w:rStyle w:val="Hipersaitas"/>
          </w:rPr>
          <w:t>Prieiga internete</w:t>
        </w:r>
      </w:hyperlink>
    </w:p>
    <w:p w14:paraId="69C94895" w14:textId="77777777" w:rsidR="005A0365" w:rsidRDefault="005A0365" w:rsidP="00350DC6">
      <w:pPr>
        <w:shd w:val="clear" w:color="auto" w:fill="FFFFFF"/>
        <w:spacing w:after="0" w:line="240" w:lineRule="auto"/>
        <w:ind w:right="-1"/>
        <w:rPr>
          <w:rFonts w:ascii="Calibri" w:eastAsia="Times New Roman" w:hAnsi="Calibri" w:cs="Calibri"/>
          <w:b/>
        </w:rPr>
      </w:pPr>
    </w:p>
    <w:p w14:paraId="44BC864F" w14:textId="77777777" w:rsidR="00837CD5" w:rsidRPr="00C170C3" w:rsidRDefault="00837CD5" w:rsidP="00837CD5">
      <w:pPr>
        <w:pStyle w:val="Antrat1"/>
        <w:spacing w:before="0"/>
        <w:ind w:right="-1"/>
        <w:rPr>
          <w:rFonts w:eastAsia="Times New Roman" w:cstheme="minorHAnsi"/>
          <w:szCs w:val="22"/>
        </w:rPr>
      </w:pPr>
      <w:bookmarkStart w:id="17" w:name="_Toc52184430"/>
      <w:bookmarkStart w:id="18" w:name="_Toc104379816"/>
      <w:bookmarkStart w:id="19" w:name="_Toc181709488"/>
      <w:bookmarkStart w:id="20" w:name="_Toc104379823"/>
      <w:r w:rsidRPr="00C170C3">
        <w:rPr>
          <w:rFonts w:eastAsia="Times New Roman" w:cstheme="minorHAnsi"/>
          <w:szCs w:val="22"/>
        </w:rPr>
        <w:t>TEISĖ Į PRIVATAUS IR ŠEIMOS GYVENIMO GERBIMĄ (8 straipsnis)</w:t>
      </w:r>
      <w:bookmarkEnd w:id="17"/>
      <w:bookmarkEnd w:id="18"/>
      <w:bookmarkEnd w:id="19"/>
    </w:p>
    <w:p w14:paraId="0F796BCE" w14:textId="77777777" w:rsidR="00837CD5" w:rsidRDefault="00837CD5" w:rsidP="00105BCC">
      <w:pPr>
        <w:shd w:val="clear" w:color="auto" w:fill="FFFFFF"/>
        <w:spacing w:after="0" w:line="240" w:lineRule="auto"/>
        <w:ind w:right="-1"/>
        <w:rPr>
          <w:rFonts w:ascii="Calibri" w:eastAsia="Times New Roman" w:hAnsi="Calibri" w:cs="Calibri"/>
          <w:b/>
        </w:rPr>
      </w:pPr>
    </w:p>
    <w:p w14:paraId="3BA20573" w14:textId="77777777" w:rsidR="00045B4F" w:rsidRPr="004A6822" w:rsidRDefault="00045B4F" w:rsidP="00045B4F">
      <w:pPr>
        <w:spacing w:after="0" w:line="240" w:lineRule="auto"/>
        <w:jc w:val="center"/>
        <w:rPr>
          <w:rFonts w:cstheme="minorHAnsi"/>
          <w:b/>
        </w:rPr>
      </w:pPr>
      <w:r w:rsidRPr="004A6822">
        <w:rPr>
          <w:rFonts w:cstheme="minorHAnsi"/>
          <w:b/>
        </w:rPr>
        <w:t xml:space="preserve">Europos Žmogaus Teisių Teismo 2024 m. </w:t>
      </w:r>
      <w:r>
        <w:rPr>
          <w:rFonts w:cstheme="minorHAnsi"/>
          <w:b/>
        </w:rPr>
        <w:t>vasario</w:t>
      </w:r>
      <w:r w:rsidRPr="004A6822">
        <w:rPr>
          <w:rFonts w:cstheme="minorHAnsi"/>
          <w:b/>
        </w:rPr>
        <w:t xml:space="preserve"> </w:t>
      </w:r>
      <w:r>
        <w:rPr>
          <w:rFonts w:cstheme="minorHAnsi"/>
          <w:b/>
        </w:rPr>
        <w:t>2</w:t>
      </w:r>
      <w:r w:rsidRPr="004A6822">
        <w:rPr>
          <w:rFonts w:cstheme="minorHAnsi"/>
          <w:b/>
        </w:rPr>
        <w:t xml:space="preserve">0 d. sprendimas byloje </w:t>
      </w:r>
    </w:p>
    <w:p w14:paraId="51B7D6F5" w14:textId="77777777" w:rsidR="00045B4F" w:rsidRPr="00045B4F" w:rsidRDefault="00045B4F" w:rsidP="00045B4F">
      <w:pPr>
        <w:keepNext/>
        <w:keepLines/>
        <w:spacing w:after="0" w:line="240" w:lineRule="auto"/>
        <w:jc w:val="center"/>
        <w:outlineLvl w:val="1"/>
        <w:rPr>
          <w:rFonts w:ascii="Calibri" w:eastAsia="Times New Roman" w:hAnsi="Calibri" w:cs="Times New Roman"/>
          <w:b/>
          <w:bCs/>
          <w:i/>
          <w:iCs/>
          <w:color w:val="2E74B5"/>
        </w:rPr>
      </w:pPr>
      <w:bookmarkStart w:id="21" w:name="_Toc181709489"/>
      <w:r w:rsidRPr="00045B4F">
        <w:rPr>
          <w:rFonts w:ascii="Calibri" w:eastAsia="Times New Roman" w:hAnsi="Calibri" w:cs="Times New Roman"/>
          <w:b/>
          <w:bCs/>
          <w:i/>
          <w:iCs/>
          <w:color w:val="2E74B5"/>
        </w:rPr>
        <w:t>Diaconeasa prieš Rumuniją</w:t>
      </w:r>
      <w:bookmarkEnd w:id="21"/>
    </w:p>
    <w:p w14:paraId="62E0D1C7" w14:textId="597C8B7E" w:rsidR="00045B4F" w:rsidRPr="00045B4F" w:rsidRDefault="00045B4F" w:rsidP="00045B4F">
      <w:pPr>
        <w:spacing w:after="0" w:line="240" w:lineRule="auto"/>
        <w:jc w:val="center"/>
        <w:rPr>
          <w:rStyle w:val="sfbbfee58"/>
          <w:rFonts w:cstheme="minorHAnsi"/>
          <w:b/>
        </w:rPr>
      </w:pPr>
      <w:r w:rsidRPr="004A6822">
        <w:rPr>
          <w:rFonts w:cstheme="minorHAnsi"/>
          <w:b/>
        </w:rPr>
        <w:t xml:space="preserve">(pareiškimo Nr. </w:t>
      </w:r>
      <w:r w:rsidRPr="005E296A">
        <w:rPr>
          <w:rFonts w:cstheme="minorHAnsi"/>
          <w:b/>
          <w:iCs/>
        </w:rPr>
        <w:t>53162/21</w:t>
      </w:r>
      <w:r w:rsidRPr="004A6822">
        <w:rPr>
          <w:rFonts w:cstheme="minorHAnsi"/>
          <w:b/>
          <w:iCs/>
        </w:rPr>
        <w:t xml:space="preserve">, svarbos lygis – </w:t>
      </w:r>
      <w:r>
        <w:rPr>
          <w:rFonts w:cstheme="minorHAnsi"/>
          <w:b/>
          <w:iCs/>
        </w:rPr>
        <w:t>2</w:t>
      </w:r>
      <w:r w:rsidRPr="004A6822">
        <w:rPr>
          <w:rFonts w:cstheme="minorHAnsi"/>
          <w:b/>
        </w:rPr>
        <w:t>)</w:t>
      </w:r>
    </w:p>
    <w:p w14:paraId="170BDCBE" w14:textId="77777777" w:rsidR="00045B4F" w:rsidRDefault="00045B4F" w:rsidP="00045B4F">
      <w:pPr>
        <w:spacing w:after="0" w:line="240" w:lineRule="auto"/>
        <w:ind w:firstLine="567"/>
        <w:rPr>
          <w:rFonts w:cstheme="minorHAnsi"/>
          <w:i/>
          <w:iCs/>
        </w:rPr>
      </w:pPr>
    </w:p>
    <w:p w14:paraId="65DCB24E" w14:textId="1A0042B5" w:rsidR="00045B4F" w:rsidRPr="00045B4F" w:rsidRDefault="00045B4F" w:rsidP="00045B4F">
      <w:pPr>
        <w:pStyle w:val="Antrat3"/>
        <w:spacing w:before="0" w:line="240" w:lineRule="auto"/>
        <w:ind w:right="-1" w:firstLine="567"/>
        <w:rPr>
          <w:rFonts w:ascii="Calibri" w:eastAsia="Times New Roman" w:hAnsi="Calibri" w:cs="Times New Roman"/>
        </w:rPr>
      </w:pPr>
      <w:bookmarkStart w:id="22" w:name="_Toc181709490"/>
      <w:r w:rsidRPr="00045B4F">
        <w:rPr>
          <w:rFonts w:ascii="Calibri" w:eastAsia="Times New Roman" w:hAnsi="Calibri" w:cs="Times New Roman"/>
        </w:rPr>
        <w:t>Dėl valstybės finansuojamo asmeninio asistento fizinę negalią turinčiam asmeniui atšaukimo, dėl ko visiškai prarandama autonomija</w:t>
      </w:r>
      <w:bookmarkEnd w:id="22"/>
    </w:p>
    <w:p w14:paraId="5EB15392" w14:textId="77777777" w:rsidR="00045B4F" w:rsidRPr="004A5CF1" w:rsidRDefault="00045B4F" w:rsidP="00045B4F">
      <w:pPr>
        <w:spacing w:after="0" w:line="240" w:lineRule="auto"/>
        <w:ind w:firstLine="567"/>
        <w:rPr>
          <w:rFonts w:cstheme="minorHAnsi"/>
          <w:highlight w:val="yellow"/>
        </w:rPr>
      </w:pPr>
    </w:p>
    <w:p w14:paraId="53DFDDD5" w14:textId="77777777" w:rsidR="00045B4F" w:rsidRPr="00BC5BE2" w:rsidRDefault="00045B4F" w:rsidP="00045B4F">
      <w:pPr>
        <w:spacing w:after="0" w:line="240" w:lineRule="auto"/>
        <w:jc w:val="center"/>
        <w:rPr>
          <w:rFonts w:cstheme="minorHAnsi"/>
          <w:b/>
        </w:rPr>
      </w:pPr>
      <w:r w:rsidRPr="00BC5BE2">
        <w:rPr>
          <w:rFonts w:cstheme="minorHAnsi"/>
          <w:b/>
        </w:rPr>
        <w:t>Faktinės aplinkybės</w:t>
      </w:r>
    </w:p>
    <w:p w14:paraId="4E4E0D65" w14:textId="77777777" w:rsidR="00045B4F" w:rsidRPr="004A5CF1" w:rsidRDefault="00045B4F" w:rsidP="00045B4F">
      <w:pPr>
        <w:spacing w:after="0" w:line="240" w:lineRule="auto"/>
        <w:ind w:firstLine="567"/>
        <w:rPr>
          <w:rFonts w:cstheme="minorHAnsi"/>
          <w:b/>
          <w:highlight w:val="yellow"/>
        </w:rPr>
      </w:pPr>
    </w:p>
    <w:p w14:paraId="2364AD71" w14:textId="77777777" w:rsidR="00045B4F" w:rsidRDefault="00045B4F" w:rsidP="00045B4F">
      <w:pPr>
        <w:spacing w:after="0" w:line="240" w:lineRule="auto"/>
        <w:ind w:firstLine="567"/>
        <w:jc w:val="both"/>
        <w:rPr>
          <w:rFonts w:cstheme="minorHAnsi"/>
          <w:bCs/>
        </w:rPr>
      </w:pPr>
      <w:r w:rsidRPr="005E296A">
        <w:rPr>
          <w:rFonts w:cstheme="minorHAnsi"/>
          <w:bCs/>
        </w:rPr>
        <w:t>Pareiškėja A</w:t>
      </w:r>
      <w:r>
        <w:rPr>
          <w:rFonts w:cstheme="minorHAnsi"/>
          <w:bCs/>
        </w:rPr>
        <w:t>.</w:t>
      </w:r>
      <w:r w:rsidRPr="005E296A">
        <w:rPr>
          <w:rFonts w:cstheme="minorHAnsi"/>
          <w:bCs/>
        </w:rPr>
        <w:t xml:space="preserve"> Diaconeasa 2013 m. patyrė insultą, dėl kurio ji ne</w:t>
      </w:r>
      <w:r>
        <w:rPr>
          <w:rFonts w:cstheme="minorHAnsi"/>
          <w:bCs/>
        </w:rPr>
        <w:t>be</w:t>
      </w:r>
      <w:r w:rsidRPr="005E296A">
        <w:rPr>
          <w:rFonts w:cstheme="minorHAnsi"/>
          <w:bCs/>
        </w:rPr>
        <w:t>galėjo judėti</w:t>
      </w:r>
      <w:r>
        <w:rPr>
          <w:rFonts w:cstheme="minorHAnsi"/>
          <w:bCs/>
        </w:rPr>
        <w:t xml:space="preserve">, </w:t>
      </w:r>
      <w:r w:rsidRPr="005E296A">
        <w:rPr>
          <w:rFonts w:cstheme="minorHAnsi"/>
          <w:bCs/>
        </w:rPr>
        <w:t>kalbėti</w:t>
      </w:r>
      <w:r>
        <w:rPr>
          <w:rFonts w:cstheme="minorHAnsi"/>
          <w:bCs/>
        </w:rPr>
        <w:t xml:space="preserve"> ir tinkamai pasirūpinti savo pagrindiniais poreikiais</w:t>
      </w:r>
      <w:r w:rsidRPr="005E296A">
        <w:rPr>
          <w:rFonts w:cstheme="minorHAnsi"/>
          <w:bCs/>
        </w:rPr>
        <w:t xml:space="preserve">. </w:t>
      </w:r>
    </w:p>
    <w:p w14:paraId="685E820B" w14:textId="2663C3B3" w:rsidR="00045B4F" w:rsidRDefault="00045B4F" w:rsidP="00045B4F">
      <w:pPr>
        <w:spacing w:after="0" w:line="240" w:lineRule="auto"/>
        <w:ind w:firstLine="567"/>
        <w:jc w:val="both"/>
        <w:rPr>
          <w:rStyle w:val="rynqvb"/>
        </w:rPr>
      </w:pPr>
      <w:r>
        <w:rPr>
          <w:rStyle w:val="rynqvb"/>
        </w:rPr>
        <w:t>2015 ir 2016 m. Suaugusiųjų su negalia apsaugos komisija (toliau – Komisija) išdavė vienerius metus galiojančią pažymą, patvirtinančią, kad pareiškėja turi sunkią negalią, dėl kurios reikalingas asmeninis asistentas. 2017 m. spalio 3 d. Komisija atliko pareiškėjos gebėjimų kompleksinį vertinimą, kaip to reikalauja teisės aktai, ir užpildė formą su socialinio, medicininio ir psichologinio vertinimo išvadomis, kuriose pažymėjo, kad pareiškėja gauna pagalbą iš savo dviejų dukterų, bei rekomendavo joms toliau teikti tokią pagalbą.</w:t>
      </w:r>
      <w:r>
        <w:rPr>
          <w:rStyle w:val="hwtze"/>
        </w:rPr>
        <w:t xml:space="preserve"> </w:t>
      </w:r>
      <w:r>
        <w:rPr>
          <w:rStyle w:val="rynqvb"/>
        </w:rPr>
        <w:t>2017</w:t>
      </w:r>
      <w:r w:rsidR="00D31494">
        <w:rPr>
          <w:rStyle w:val="rynqvb"/>
        </w:rPr>
        <w:t> </w:t>
      </w:r>
      <w:r>
        <w:rPr>
          <w:rStyle w:val="rynqvb"/>
        </w:rPr>
        <w:t>m. lapkričio 22 d. Komisija išdavė naują dvejus metus galiojančią pažymą, kuria pareiškėjai nustatytas sunkus neįgalumas, dėl kurio asmeninis asistentas nereikalingas. 2019 m. lapkričio 20 d. Komisija išdavė naują pažymą, identišką išduotai 2017 m., tik nurodė, kad pareiškėjos būklė yra nuolatinė ir dėl to nereikia periodiškai pakartotinai jos vertinti.</w:t>
      </w:r>
    </w:p>
    <w:p w14:paraId="0CAFD078" w14:textId="77777777" w:rsidR="00045B4F" w:rsidRPr="00234ED7" w:rsidRDefault="00045B4F" w:rsidP="00045B4F">
      <w:pPr>
        <w:spacing w:after="0" w:line="240" w:lineRule="auto"/>
        <w:ind w:firstLine="567"/>
        <w:jc w:val="both"/>
      </w:pPr>
      <w:r>
        <w:rPr>
          <w:rStyle w:val="sbb9ee52a"/>
        </w:rPr>
        <w:lastRenderedPageBreak/>
        <w:t xml:space="preserve">Pareiškėja kreipėsi į teismą dėl naujos pažymos, teigdama, kad jos fizinė sveikata nuo 2016 m. nepakito. </w:t>
      </w:r>
      <w:r>
        <w:rPr>
          <w:rStyle w:val="rynqvb"/>
        </w:rPr>
        <w:t>Apygardos teismas patenkino ieškinį ir panaikino 2019 m. lapkričio 20 d. pažymą, tačiau apeliacinės instancijos teismas panaikino apygardos teismo sprendimą ir paliko galioti Komisijos išduotą pažymą.</w:t>
      </w:r>
    </w:p>
    <w:p w14:paraId="4FDD315B" w14:textId="03943758" w:rsidR="00045B4F" w:rsidRDefault="00045B4F" w:rsidP="00045B4F">
      <w:pPr>
        <w:spacing w:after="0" w:line="240" w:lineRule="auto"/>
        <w:ind w:firstLine="567"/>
        <w:jc w:val="both"/>
        <w:rPr>
          <w:rFonts w:cstheme="minorHAnsi"/>
          <w:bCs/>
        </w:rPr>
      </w:pPr>
      <w:r w:rsidRPr="005E296A">
        <w:rPr>
          <w:rFonts w:cstheme="minorHAnsi"/>
          <w:bCs/>
        </w:rPr>
        <w:t xml:space="preserve">Remdamasi </w:t>
      </w:r>
      <w:r w:rsidR="00D31494">
        <w:rPr>
          <w:rFonts w:cstheme="minorHAnsi"/>
          <w:bCs/>
        </w:rPr>
        <w:t xml:space="preserve">Konvencijos </w:t>
      </w:r>
      <w:r w:rsidRPr="005E296A">
        <w:rPr>
          <w:rFonts w:cstheme="minorHAnsi"/>
          <w:bCs/>
        </w:rPr>
        <w:t xml:space="preserve">8 straipsniu (teisė į privataus gyvenimo gerbimą), </w:t>
      </w:r>
      <w:r>
        <w:rPr>
          <w:rFonts w:cstheme="minorHAnsi"/>
          <w:bCs/>
        </w:rPr>
        <w:t>pareiškėja</w:t>
      </w:r>
      <w:r w:rsidRPr="005E296A">
        <w:rPr>
          <w:rFonts w:cstheme="minorHAnsi"/>
          <w:bCs/>
        </w:rPr>
        <w:t xml:space="preserve"> skund</w:t>
      </w:r>
      <w:r>
        <w:rPr>
          <w:rFonts w:cstheme="minorHAnsi"/>
          <w:bCs/>
        </w:rPr>
        <w:t>ėsi,</w:t>
      </w:r>
      <w:r w:rsidRPr="005E296A">
        <w:rPr>
          <w:rFonts w:cstheme="minorHAnsi"/>
          <w:bCs/>
        </w:rPr>
        <w:t xml:space="preserve"> kad nuo 2016 m. jos padėtis nepasikeitė, kas pateisintų jai teikiamos priežiūros lygio sumažinimą, ir kad dėl </w:t>
      </w:r>
      <w:r>
        <w:rPr>
          <w:rFonts w:cstheme="minorHAnsi"/>
          <w:bCs/>
        </w:rPr>
        <w:t>ginčijamo</w:t>
      </w:r>
      <w:r w:rsidRPr="005E296A">
        <w:rPr>
          <w:rFonts w:cstheme="minorHAnsi"/>
          <w:bCs/>
        </w:rPr>
        <w:t xml:space="preserve"> sprendimo ji buvo priversta būti izoliuota</w:t>
      </w:r>
      <w:r>
        <w:rPr>
          <w:rFonts w:cstheme="minorHAnsi"/>
          <w:bCs/>
        </w:rPr>
        <w:t>,</w:t>
      </w:r>
      <w:r w:rsidRPr="005E296A">
        <w:rPr>
          <w:rFonts w:cstheme="minorHAnsi"/>
          <w:bCs/>
        </w:rPr>
        <w:t xml:space="preserve"> </w:t>
      </w:r>
      <w:r>
        <w:rPr>
          <w:rFonts w:cstheme="minorHAnsi"/>
          <w:bCs/>
        </w:rPr>
        <w:t xml:space="preserve">iš jos visiškai </w:t>
      </w:r>
      <w:r w:rsidRPr="005E296A">
        <w:rPr>
          <w:rFonts w:cstheme="minorHAnsi"/>
          <w:bCs/>
        </w:rPr>
        <w:t>atimta autonomija.</w:t>
      </w:r>
    </w:p>
    <w:p w14:paraId="73BB5EE0" w14:textId="77777777" w:rsidR="00045B4F" w:rsidRPr="004A5CF1" w:rsidRDefault="00045B4F" w:rsidP="00045B4F">
      <w:pPr>
        <w:spacing w:after="0" w:line="240" w:lineRule="auto"/>
        <w:jc w:val="center"/>
        <w:rPr>
          <w:rFonts w:cstheme="minorHAnsi"/>
          <w:bCs/>
          <w:highlight w:val="yellow"/>
        </w:rPr>
      </w:pPr>
    </w:p>
    <w:p w14:paraId="7633AA03" w14:textId="77777777" w:rsidR="00045B4F" w:rsidRPr="004E45CE" w:rsidRDefault="00045B4F" w:rsidP="00045B4F">
      <w:pPr>
        <w:spacing w:after="0" w:line="240" w:lineRule="auto"/>
        <w:jc w:val="center"/>
        <w:rPr>
          <w:rFonts w:cstheme="minorHAnsi"/>
          <w:b/>
        </w:rPr>
      </w:pPr>
      <w:r w:rsidRPr="004E45CE">
        <w:rPr>
          <w:rFonts w:cstheme="minorHAnsi"/>
          <w:b/>
        </w:rPr>
        <w:t>Neoficiali Teismo sprendimo apžvalga</w:t>
      </w:r>
    </w:p>
    <w:p w14:paraId="370E31FF" w14:textId="77777777" w:rsidR="00045B4F" w:rsidRPr="004E45CE" w:rsidRDefault="00045B4F" w:rsidP="00045B4F">
      <w:pPr>
        <w:spacing w:after="0" w:line="240" w:lineRule="auto"/>
        <w:ind w:firstLine="567"/>
        <w:jc w:val="both"/>
        <w:rPr>
          <w:rFonts w:cstheme="minorHAnsi"/>
        </w:rPr>
      </w:pPr>
    </w:p>
    <w:p w14:paraId="36A0D5AF" w14:textId="77777777" w:rsidR="00045B4F" w:rsidRDefault="00045B4F" w:rsidP="00045B4F">
      <w:pPr>
        <w:spacing w:after="0" w:line="240" w:lineRule="auto"/>
        <w:ind w:firstLine="567"/>
        <w:jc w:val="both"/>
        <w:rPr>
          <w:rStyle w:val="rynqvb"/>
        </w:rPr>
      </w:pPr>
      <w:r w:rsidRPr="000D719F">
        <w:rPr>
          <w:rFonts w:cstheme="minorHAnsi"/>
          <w:bCs/>
        </w:rPr>
        <w:t xml:space="preserve">Teismas pirmiausia </w:t>
      </w:r>
      <w:r>
        <w:rPr>
          <w:rFonts w:cstheme="minorHAnsi"/>
          <w:bCs/>
        </w:rPr>
        <w:t>atkreipė dėmesį</w:t>
      </w:r>
      <w:r w:rsidRPr="000D719F">
        <w:rPr>
          <w:rFonts w:cstheme="minorHAnsi"/>
          <w:bCs/>
        </w:rPr>
        <w:t xml:space="preserve">, kad </w:t>
      </w:r>
      <w:r>
        <w:rPr>
          <w:rStyle w:val="rynqvb"/>
        </w:rPr>
        <w:t>nagrinėtu atveju valdžios institucijos iš pradžių buvo suteikusios pareiškėjai asmeninį asistentą, todėl pareiškėja skundėsi ne veiksmų nebuvimu, o Komisijos sprendimu sumažinti jai teikiamos priežiūros lygį ir nebeteikti asmeninio asistento. Todėl Teismas šią bylą nagrinėjo kaip bylą dėl įsikišimo į pareiškėjos teisę dėl privataus gyvenimo gerbimo.</w:t>
      </w:r>
    </w:p>
    <w:p w14:paraId="53327071" w14:textId="77777777" w:rsidR="00045B4F" w:rsidRDefault="00045B4F" w:rsidP="00045B4F">
      <w:pPr>
        <w:spacing w:after="0" w:line="240" w:lineRule="auto"/>
        <w:ind w:firstLine="567"/>
        <w:jc w:val="both"/>
        <w:rPr>
          <w:rStyle w:val="rynqvb"/>
        </w:rPr>
      </w:pPr>
      <w:r>
        <w:rPr>
          <w:rStyle w:val="rynqvb"/>
        </w:rPr>
        <w:t>Teismas pažymėjo, kad toks kišimasis laikytinas pažeidžiančiu Konvencijos 8 straipsnį, nebent jis yra pateisinamas pagal 8 straipsnio 2 dalį, kaip atliekamas „pagal įstatymą“, siekiant vieno ar kelių jame išvardytų teisėtų tikslų ir yra „būtinas</w:t>
      </w:r>
      <w:r>
        <w:rPr>
          <w:rStyle w:val="hwtze"/>
        </w:rPr>
        <w:t xml:space="preserve"> </w:t>
      </w:r>
      <w:r>
        <w:rPr>
          <w:rStyle w:val="rynqvb"/>
        </w:rPr>
        <w:t>demokratinėje visuomenėje“, kad būtų pasiektas atitinkamas tikslas ar tikslai.</w:t>
      </w:r>
    </w:p>
    <w:p w14:paraId="51107F09" w14:textId="77777777" w:rsidR="00045B4F" w:rsidRDefault="00045B4F" w:rsidP="00045B4F">
      <w:pPr>
        <w:spacing w:after="0" w:line="240" w:lineRule="auto"/>
        <w:ind w:firstLine="567"/>
        <w:jc w:val="both"/>
        <w:rPr>
          <w:rStyle w:val="rynqvb"/>
        </w:rPr>
      </w:pPr>
      <w:r>
        <w:rPr>
          <w:rStyle w:val="rynqvb"/>
        </w:rPr>
        <w:t>Vertindamas konkrečias byloje susiklosčiusias aplinkybes, Teismas pastebėjo, kad šiuo atveju kišimasis buvo „pagal įstatymą“ ir juo buvo siekiama teisėto tikslo, t. y. valstybės ekonominės gerovės ir kitų priežiūros paslaugų gavėjų interesų. Todėl reikėjo išsiaiškinti, ar sprendimas atšaukti asmeninį asistentą buvo „būtinas demokratinėje visuomenėje“, kaip apibrėžta Konvencijos 8 straipsnio 2 dalyje, ir ar valstybė, atsižvelgdama į jau suteiktą vertinimo laisvę, nustatė teisingą pusiausvyrą tarp pareiškėjos intereso išlaikyti asmeninio asistento naudą ir atitinkamų visuomenės interesų.</w:t>
      </w:r>
    </w:p>
    <w:p w14:paraId="00E649E6" w14:textId="77777777" w:rsidR="00045B4F" w:rsidRDefault="00045B4F" w:rsidP="00045B4F">
      <w:pPr>
        <w:spacing w:after="0" w:line="240" w:lineRule="auto"/>
        <w:ind w:firstLine="567"/>
        <w:jc w:val="both"/>
        <w:rPr>
          <w:rStyle w:val="rynqvb"/>
        </w:rPr>
      </w:pPr>
      <w:r>
        <w:rPr>
          <w:rStyle w:val="rynqvb"/>
        </w:rPr>
        <w:t xml:space="preserve">Priminta, kad </w:t>
      </w:r>
      <w:r w:rsidRPr="00690850">
        <w:rPr>
          <w:rStyle w:val="rynqvb"/>
          <w:u w:val="single"/>
        </w:rPr>
        <w:t>atsakovė, kaip Jungtinių Tautų Neįgaliųjų teisių konvencijos narė, pripažino lygias visų neįgaliųjų teises ir teisę į tinkamą gyvenimo lygį ir socialinę apsaugą bei įsipareigojo imtis veiksmingų ir tinkamų priemonių, kad padėtų neįgaliesiems</w:t>
      </w:r>
      <w:r w:rsidRPr="00690850">
        <w:rPr>
          <w:rStyle w:val="hwtze"/>
          <w:u w:val="single"/>
        </w:rPr>
        <w:t xml:space="preserve"> </w:t>
      </w:r>
      <w:r w:rsidRPr="00690850">
        <w:rPr>
          <w:rStyle w:val="rynqvb"/>
          <w:u w:val="single"/>
        </w:rPr>
        <w:t>gyventi savarankiškai ir būti įtrauktiems į bendruomenę bei užtikrinti savo asmeninį mobilumą</w:t>
      </w:r>
      <w:r>
        <w:rPr>
          <w:rStyle w:val="rynqvb"/>
        </w:rPr>
        <w:t>.</w:t>
      </w:r>
    </w:p>
    <w:p w14:paraId="1DADB6ED" w14:textId="1F1CC3E3" w:rsidR="00045B4F" w:rsidRDefault="00045B4F" w:rsidP="00045B4F">
      <w:pPr>
        <w:spacing w:after="0" w:line="240" w:lineRule="auto"/>
        <w:ind w:firstLine="567"/>
        <w:jc w:val="both"/>
        <w:rPr>
          <w:rStyle w:val="rynqvb"/>
        </w:rPr>
      </w:pPr>
      <w:r>
        <w:rPr>
          <w:rStyle w:val="rynqvb"/>
        </w:rPr>
        <w:t>Nagrinėtu atveju medicinos specialistai ir socialinės tarnybos įvertino, kad pareiškėjos padėtis nuo 2016</w:t>
      </w:r>
      <w:r w:rsidR="00A3756E">
        <w:rPr>
          <w:rStyle w:val="rynqvb"/>
        </w:rPr>
        <w:t> </w:t>
      </w:r>
      <w:r>
        <w:rPr>
          <w:rStyle w:val="rynqvb"/>
        </w:rPr>
        <w:t>m. nepagerėjo ir jai reikia pagalbos atliekant pačias pagrindines užduotis, tokias kaip asmens higiena, apsirengimas, naudojimasis tualetu, valymas, maisto ruošimas,</w:t>
      </w:r>
      <w:r>
        <w:rPr>
          <w:rStyle w:val="hwtze"/>
        </w:rPr>
        <w:t xml:space="preserve"> </w:t>
      </w:r>
      <w:r>
        <w:rPr>
          <w:rStyle w:val="rynqvb"/>
        </w:rPr>
        <w:t>vaikščiojimas, apsipirkimas, naudojimasis transporto priemonėmis ir pinigų tvarkymas.</w:t>
      </w:r>
      <w:r>
        <w:rPr>
          <w:rStyle w:val="hwtze"/>
        </w:rPr>
        <w:t xml:space="preserve"> </w:t>
      </w:r>
      <w:r>
        <w:rPr>
          <w:rStyle w:val="rynqvb"/>
        </w:rPr>
        <w:t>Tokiai nuomonei pritarė ir apygardos teismas, kuris padarė išvadą, kad pareiškėja pati negalėjo susitvarkyti.</w:t>
      </w:r>
      <w:r>
        <w:rPr>
          <w:rStyle w:val="hwtze"/>
        </w:rPr>
        <w:t xml:space="preserve"> </w:t>
      </w:r>
      <w:r>
        <w:rPr>
          <w:rStyle w:val="rynqvb"/>
        </w:rPr>
        <w:t>Tačiau, priešingai padarytoms išvadoms, tiek 2017 ir 2019 m. pažymas išdavusi Komisija, tiek galiausiai šias pažymas patvirtinęs apeliacinės instancijos teismas manė, kad pareiškėjai asmeninio asistento nereikia.</w:t>
      </w:r>
    </w:p>
    <w:p w14:paraId="2C4F68AF" w14:textId="77777777" w:rsidR="00045B4F" w:rsidRDefault="00045B4F" w:rsidP="00045B4F">
      <w:pPr>
        <w:spacing w:after="0" w:line="240" w:lineRule="auto"/>
        <w:ind w:firstLine="567"/>
        <w:jc w:val="both"/>
        <w:rPr>
          <w:rStyle w:val="rynqvb"/>
        </w:rPr>
      </w:pPr>
      <w:r w:rsidRPr="005E3CEE">
        <w:rPr>
          <w:rStyle w:val="rynqvb"/>
        </w:rPr>
        <w:t>Atsižvelg</w:t>
      </w:r>
      <w:r>
        <w:rPr>
          <w:rStyle w:val="rynqvb"/>
        </w:rPr>
        <w:t>damas</w:t>
      </w:r>
      <w:r w:rsidRPr="005E3CEE">
        <w:rPr>
          <w:rStyle w:val="rynqvb"/>
        </w:rPr>
        <w:t xml:space="preserve"> į subsidiarumo principą, Teismas </w:t>
      </w:r>
      <w:r>
        <w:rPr>
          <w:rStyle w:val="rynqvb"/>
        </w:rPr>
        <w:t xml:space="preserve">pažymėjo, kad jis </w:t>
      </w:r>
      <w:r w:rsidRPr="005E3CEE">
        <w:rPr>
          <w:rStyle w:val="rynqvb"/>
        </w:rPr>
        <w:t xml:space="preserve">neturi pakeisti nacionalinių valdžios institucijų nuomonės savo nuomone ir aiškinti bei taikyti vidaus teisę. Tačiau </w:t>
      </w:r>
      <w:r w:rsidRPr="005E3CEE">
        <w:rPr>
          <w:rStyle w:val="rynqvb"/>
          <w:u w:val="single"/>
        </w:rPr>
        <w:t>nacionaliniai teismai, kuriems tenka ši užduotis, turi aiškinti vidaus teisę taip, kad atitiktų valstybių įsipareigojimus pagal Konvenciją</w:t>
      </w:r>
      <w:r w:rsidRPr="005E3CEE">
        <w:rPr>
          <w:rStyle w:val="rynqvb"/>
        </w:rPr>
        <w:t>.</w:t>
      </w:r>
    </w:p>
    <w:p w14:paraId="7D6FC498" w14:textId="77777777" w:rsidR="00045B4F" w:rsidRDefault="00045B4F" w:rsidP="00045B4F">
      <w:pPr>
        <w:spacing w:after="0" w:line="240" w:lineRule="auto"/>
        <w:ind w:firstLine="567"/>
        <w:jc w:val="both"/>
        <w:rPr>
          <w:rStyle w:val="rynqvb"/>
        </w:rPr>
      </w:pPr>
      <w:r>
        <w:rPr>
          <w:rStyle w:val="rynqvb"/>
        </w:rPr>
        <w:t>Šiuo atveju apeliacinis teismas nurodė, kad pareiškėjos sveikatos būklė pateisina tik jos negalios klasifikaciją kaip sunkios, tačiau pareiškėja galėjo judėti su pagalba, todėl jai prireikė tik dalinės pagalbos kasdienėje veikloje. Tačiau panašu, kad šis teismas neatsižvelgė į pareiškėjos keblią padėtį ir medicininius, socialinius ir neurologinius vertinimus, kurie nuosekliai parodė pagalbos poreikį. Į įrodymais pagrįstą pareiškėjos argumentą, kad jos sveikatos būklė nuo 2016 m. nepagerėjo, apeliacinis teismas taip pat neatsakė.</w:t>
      </w:r>
    </w:p>
    <w:p w14:paraId="43D5FA8F" w14:textId="77777777" w:rsidR="00045B4F" w:rsidRDefault="00045B4F" w:rsidP="00045B4F">
      <w:pPr>
        <w:spacing w:after="0" w:line="240" w:lineRule="auto"/>
        <w:ind w:firstLine="567"/>
        <w:jc w:val="both"/>
        <w:rPr>
          <w:rStyle w:val="rynqvb"/>
        </w:rPr>
      </w:pPr>
      <w:r>
        <w:rPr>
          <w:rStyle w:val="rynqvb"/>
        </w:rPr>
        <w:t xml:space="preserve">Be to, </w:t>
      </w:r>
      <w:r w:rsidRPr="005465BC">
        <w:rPr>
          <w:rStyle w:val="rynqvb"/>
          <w:u w:val="single"/>
        </w:rPr>
        <w:t>nustatę, kad pareiškėjai reikia dalinės pagalbos, nei Komisija, nei apeliacinės instancijos teismas nenagrinėjo alternatyvių praktinių priemonių, kurios užtikrintų pagarbą jos orumui ir veiksmingą jos teisę į autonomiją</w:t>
      </w:r>
      <w:r>
        <w:rPr>
          <w:rStyle w:val="rynqvb"/>
        </w:rPr>
        <w:t>.</w:t>
      </w:r>
      <w:r>
        <w:rPr>
          <w:rStyle w:val="hwtze"/>
        </w:rPr>
        <w:t xml:space="preserve"> </w:t>
      </w:r>
      <w:r>
        <w:rPr>
          <w:rStyle w:val="rynqvb"/>
        </w:rPr>
        <w:t>Tiesa, Komisija rekomendavo pareiškėjai ir toliau gauti paramą iš savo šeimos, o socialinio tyrimo ataskaitose buvo pažymėta, kad ji tokią paramą gavo. Tačiau nei Komisija, nei apeliacinis teismas neįvertino šios paramos kokybės ir patikimumo.</w:t>
      </w:r>
      <w:r>
        <w:rPr>
          <w:rStyle w:val="hwtze"/>
        </w:rPr>
        <w:t xml:space="preserve"> </w:t>
      </w:r>
      <w:r>
        <w:rPr>
          <w:rStyle w:val="rynqvb"/>
        </w:rPr>
        <w:t xml:space="preserve">Nesant išsamaus vidaus vertinimo, </w:t>
      </w:r>
      <w:r w:rsidRPr="005465BC">
        <w:rPr>
          <w:rStyle w:val="rynqvb"/>
          <w:u w:val="single"/>
        </w:rPr>
        <w:t xml:space="preserve">Teismas negalėjo sutikti, kad spontaniškai šeimos narių suteikta parama galėtų pakeisti </w:t>
      </w:r>
      <w:r>
        <w:rPr>
          <w:rStyle w:val="rynqvb"/>
          <w:u w:val="single"/>
        </w:rPr>
        <w:t>adekvačią pagalbą asmenims su negalia</w:t>
      </w:r>
      <w:r w:rsidRPr="005465BC">
        <w:rPr>
          <w:rStyle w:val="rynqvb"/>
          <w:u w:val="single"/>
        </w:rPr>
        <w:t>, kaip, atrodo, siūl</w:t>
      </w:r>
      <w:r>
        <w:rPr>
          <w:rStyle w:val="rynqvb"/>
          <w:u w:val="single"/>
        </w:rPr>
        <w:t>ė</w:t>
      </w:r>
      <w:r w:rsidRPr="005465BC">
        <w:rPr>
          <w:rStyle w:val="rynqvb"/>
          <w:u w:val="single"/>
        </w:rPr>
        <w:t xml:space="preserve"> Vyriausybė</w:t>
      </w:r>
      <w:r>
        <w:rPr>
          <w:rStyle w:val="rynqvb"/>
        </w:rPr>
        <w:t>.</w:t>
      </w:r>
    </w:p>
    <w:p w14:paraId="02FA216F" w14:textId="77777777" w:rsidR="00045B4F" w:rsidRPr="00E4025F" w:rsidRDefault="00045B4F" w:rsidP="00045B4F">
      <w:pPr>
        <w:spacing w:after="0" w:line="240" w:lineRule="auto"/>
        <w:ind w:firstLine="567"/>
        <w:jc w:val="both"/>
        <w:rPr>
          <w:rStyle w:val="rynqvb"/>
        </w:rPr>
      </w:pPr>
      <w:r>
        <w:rPr>
          <w:rStyle w:val="sbb9ee52a"/>
        </w:rPr>
        <w:t xml:space="preserve">Teismas atkreipė dėmesį, kad šios bylos situacija skiriasi nuo tų, kurios susiklostė bylose </w:t>
      </w:r>
      <w:r w:rsidRPr="003E6060">
        <w:rPr>
          <w:rStyle w:val="sa36b60a1"/>
          <w:i/>
          <w:iCs/>
        </w:rPr>
        <w:t>Sentges</w:t>
      </w:r>
      <w:r>
        <w:rPr>
          <w:rStyle w:val="Puslapioinaosnuoroda"/>
          <w:i/>
          <w:iCs/>
        </w:rPr>
        <w:footnoteReference w:id="2"/>
      </w:r>
      <w:r>
        <w:rPr>
          <w:rStyle w:val="sa36b60a1"/>
          <w:i/>
          <w:iCs/>
        </w:rPr>
        <w:t xml:space="preserve"> </w:t>
      </w:r>
      <w:r w:rsidRPr="003E6060">
        <w:rPr>
          <w:rStyle w:val="sa36b60a1"/>
        </w:rPr>
        <w:t xml:space="preserve">ir </w:t>
      </w:r>
      <w:r w:rsidRPr="003E6060">
        <w:rPr>
          <w:rStyle w:val="sa36b60a1"/>
          <w:i/>
          <w:iCs/>
        </w:rPr>
        <w:t>Pentiacova ir kiti</w:t>
      </w:r>
      <w:r>
        <w:rPr>
          <w:rStyle w:val="Puslapioinaosnuoroda"/>
          <w:i/>
          <w:iCs/>
        </w:rPr>
        <w:footnoteReference w:id="3"/>
      </w:r>
      <w:r>
        <w:rPr>
          <w:rStyle w:val="sa36b60a1"/>
        </w:rPr>
        <w:t xml:space="preserve">. </w:t>
      </w:r>
      <w:r>
        <w:rPr>
          <w:rStyle w:val="rynqvb"/>
        </w:rPr>
        <w:t xml:space="preserve">Šioje byloje nagrinėtas klausimas nebuvo susijęs su pasirinkimu tarp pagrindinės priežiūros </w:t>
      </w:r>
      <w:r>
        <w:rPr>
          <w:rStyle w:val="rynqvb"/>
        </w:rPr>
        <w:lastRenderedPageBreak/>
        <w:t xml:space="preserve">ir papildomos (brangesnės) priežiūros, kuri, kadangi yra ribotų valstybės išteklių skyrimo klausimas, patenka į valstybės vertinimo laisvę. Ši byla buvo dėl to, kad pareiškėjai būtų užtikrintas tinkamas rūpestingumo ir orumo lygis, kaip numatyta įstatyme ir išplaukia iš jo aiškinimo, </w:t>
      </w:r>
      <w:r w:rsidRPr="00E4025F">
        <w:rPr>
          <w:rStyle w:val="rynqvb"/>
        </w:rPr>
        <w:t xml:space="preserve">atsižvelgiant į </w:t>
      </w:r>
      <w:r>
        <w:rPr>
          <w:rStyle w:val="rynqvb"/>
        </w:rPr>
        <w:t xml:space="preserve">jo </w:t>
      </w:r>
      <w:r w:rsidRPr="00E4025F">
        <w:rPr>
          <w:rStyle w:val="rynqvb"/>
        </w:rPr>
        <w:t>tikslus ir principus.</w:t>
      </w:r>
    </w:p>
    <w:p w14:paraId="50E15EDD" w14:textId="77777777" w:rsidR="00045B4F" w:rsidRPr="00E4025F" w:rsidRDefault="00045B4F" w:rsidP="00045B4F">
      <w:pPr>
        <w:spacing w:after="0" w:line="240" w:lineRule="auto"/>
        <w:ind w:firstLine="567"/>
        <w:jc w:val="both"/>
        <w:rPr>
          <w:rStyle w:val="rynqvb"/>
        </w:rPr>
      </w:pPr>
      <w:r w:rsidRPr="00E4025F">
        <w:rPr>
          <w:rStyle w:val="rynqvb"/>
        </w:rPr>
        <w:t xml:space="preserve">Atsižvelgiant į tai, </w:t>
      </w:r>
      <w:r>
        <w:rPr>
          <w:rStyle w:val="rynqvb"/>
        </w:rPr>
        <w:t>dėl ko kilo ginčas</w:t>
      </w:r>
      <w:r w:rsidRPr="00E4025F">
        <w:rPr>
          <w:rStyle w:val="rynqvb"/>
        </w:rPr>
        <w:t xml:space="preserve">, taip pat į </w:t>
      </w:r>
      <w:r w:rsidRPr="004626E9">
        <w:rPr>
          <w:rStyle w:val="rynqvb"/>
          <w:u w:val="single"/>
        </w:rPr>
        <w:t>pareiškėjos bendrą pažeidžiamumą, dėl kurio buvo reikalinga didesnė valdžios institucijų apsauga</w:t>
      </w:r>
      <w:r>
        <w:rPr>
          <w:rStyle w:val="rynqvb"/>
        </w:rPr>
        <w:t>,</w:t>
      </w:r>
      <w:r w:rsidRPr="00E4025F">
        <w:rPr>
          <w:rStyle w:val="rynqvb"/>
        </w:rPr>
        <w:t xml:space="preserve"> ir nepaisant </w:t>
      </w:r>
      <w:r>
        <w:rPr>
          <w:rStyle w:val="rynqvb"/>
        </w:rPr>
        <w:t>valstybės atsakovės</w:t>
      </w:r>
      <w:r w:rsidRPr="00E4025F">
        <w:rPr>
          <w:rStyle w:val="rynqvb"/>
        </w:rPr>
        <w:t xml:space="preserve"> </w:t>
      </w:r>
      <w:r>
        <w:rPr>
          <w:rStyle w:val="rynqvb"/>
        </w:rPr>
        <w:t>subsidiaraus</w:t>
      </w:r>
      <w:r w:rsidRPr="00E4025F">
        <w:rPr>
          <w:rStyle w:val="rynqvb"/>
        </w:rPr>
        <w:t xml:space="preserve"> vaidmens ir </w:t>
      </w:r>
      <w:r>
        <w:rPr>
          <w:rStyle w:val="rynqvb"/>
        </w:rPr>
        <w:t>jai suteiktos vertinimo laisvės,</w:t>
      </w:r>
      <w:r w:rsidRPr="00E4025F">
        <w:rPr>
          <w:rStyle w:val="hwtze"/>
        </w:rPr>
        <w:t xml:space="preserve"> </w:t>
      </w:r>
      <w:r w:rsidRPr="00E4025F">
        <w:rPr>
          <w:rStyle w:val="rynqvb"/>
        </w:rPr>
        <w:t xml:space="preserve">Teismas </w:t>
      </w:r>
      <w:r>
        <w:rPr>
          <w:rStyle w:val="rynqvb"/>
        </w:rPr>
        <w:t>nebuvo įtikintas</w:t>
      </w:r>
      <w:r w:rsidRPr="00E4025F">
        <w:rPr>
          <w:rStyle w:val="rynqvb"/>
        </w:rPr>
        <w:t xml:space="preserve">, kad savo sprendimuose Komisija ir </w:t>
      </w:r>
      <w:r>
        <w:rPr>
          <w:rStyle w:val="rynqvb"/>
        </w:rPr>
        <w:t>a</w:t>
      </w:r>
      <w:r w:rsidRPr="00E4025F">
        <w:rPr>
          <w:rStyle w:val="rynqvb"/>
        </w:rPr>
        <w:t>peliacin</w:t>
      </w:r>
      <w:r>
        <w:rPr>
          <w:rStyle w:val="rynqvb"/>
        </w:rPr>
        <w:t>ės instancijos</w:t>
      </w:r>
      <w:r w:rsidRPr="00E4025F">
        <w:rPr>
          <w:rStyle w:val="rynqvb"/>
        </w:rPr>
        <w:t xml:space="preserve"> teismas nustatė teisingą pusiausvyrą tarp konkuruojančių viešųjų ir privačių interesų, kaip reikalaujama </w:t>
      </w:r>
      <w:r>
        <w:rPr>
          <w:rStyle w:val="rynqvb"/>
        </w:rPr>
        <w:t xml:space="preserve">pagal Konvencijos </w:t>
      </w:r>
      <w:r w:rsidRPr="00E4025F">
        <w:rPr>
          <w:rStyle w:val="rynqvb"/>
        </w:rPr>
        <w:t>8 straipsn</w:t>
      </w:r>
      <w:r>
        <w:rPr>
          <w:rStyle w:val="rynqvb"/>
        </w:rPr>
        <w:t>į</w:t>
      </w:r>
      <w:r w:rsidRPr="00E4025F">
        <w:rPr>
          <w:rStyle w:val="rynqvb"/>
        </w:rPr>
        <w:t>.</w:t>
      </w:r>
    </w:p>
    <w:p w14:paraId="71011F53" w14:textId="77777777" w:rsidR="00045B4F" w:rsidRPr="00E4025F" w:rsidRDefault="00045B4F" w:rsidP="00045B4F">
      <w:pPr>
        <w:spacing w:after="0" w:line="240" w:lineRule="auto"/>
        <w:ind w:firstLine="567"/>
        <w:jc w:val="both"/>
        <w:rPr>
          <w:rFonts w:cstheme="minorHAnsi"/>
          <w:bCs/>
        </w:rPr>
      </w:pPr>
    </w:p>
    <w:p w14:paraId="531B983B" w14:textId="77777777" w:rsidR="00045B4F" w:rsidRPr="00E4025F" w:rsidRDefault="00045B4F" w:rsidP="00045B4F">
      <w:pPr>
        <w:spacing w:after="0" w:line="240" w:lineRule="auto"/>
        <w:ind w:firstLine="567"/>
        <w:jc w:val="both"/>
        <w:rPr>
          <w:rFonts w:cstheme="minorHAnsi"/>
        </w:rPr>
      </w:pPr>
      <w:r w:rsidRPr="00E4025F">
        <w:rPr>
          <w:rFonts w:cstheme="minorHAnsi"/>
        </w:rPr>
        <w:t>Išvada: Konvencijos 8 straipsnio pažeidimas (vienbalsiai).</w:t>
      </w:r>
    </w:p>
    <w:p w14:paraId="64ABEA9F" w14:textId="77777777" w:rsidR="00045B4F" w:rsidRPr="00055A11" w:rsidRDefault="00045B4F" w:rsidP="00045B4F">
      <w:pPr>
        <w:spacing w:after="0" w:line="240" w:lineRule="auto"/>
        <w:ind w:firstLine="567"/>
        <w:jc w:val="both"/>
        <w:rPr>
          <w:rFonts w:cstheme="minorHAnsi"/>
        </w:rPr>
      </w:pPr>
      <w:r w:rsidRPr="00055A11">
        <w:rPr>
          <w:rFonts w:cstheme="minorHAnsi"/>
        </w:rPr>
        <w:t>41 straipsnis: priteistas 7 500 Eur neturtinės žalos atlyginimas.</w:t>
      </w:r>
    </w:p>
    <w:p w14:paraId="3254B1C6" w14:textId="77777777" w:rsidR="00045B4F" w:rsidRPr="00631333" w:rsidRDefault="00045B4F" w:rsidP="00045B4F">
      <w:pPr>
        <w:spacing w:after="0" w:line="240" w:lineRule="auto"/>
        <w:ind w:firstLine="567"/>
        <w:rPr>
          <w:rFonts w:cstheme="minorHAnsi"/>
        </w:rPr>
      </w:pPr>
      <w:hyperlink r:id="rId15" w:anchor="{%22itemid%22:[%22001-231085%22]}" w:history="1">
        <w:r w:rsidRPr="00055A11">
          <w:rPr>
            <w:rStyle w:val="Hipersaitas"/>
            <w:rFonts w:cstheme="minorHAnsi"/>
            <w:shd w:val="clear" w:color="auto" w:fill="FFFFFF"/>
          </w:rPr>
          <w:t>Prieiga internete</w:t>
        </w:r>
      </w:hyperlink>
    </w:p>
    <w:p w14:paraId="21224AF3" w14:textId="77777777" w:rsidR="00045B4F" w:rsidRDefault="00045B4F" w:rsidP="00105BCC">
      <w:pPr>
        <w:shd w:val="clear" w:color="auto" w:fill="FFFFFF"/>
        <w:spacing w:after="0" w:line="240" w:lineRule="auto"/>
        <w:ind w:right="-1"/>
        <w:rPr>
          <w:rFonts w:ascii="Calibri" w:eastAsia="Times New Roman" w:hAnsi="Calibri" w:cs="Calibri"/>
          <w:b/>
        </w:rPr>
      </w:pPr>
    </w:p>
    <w:p w14:paraId="6C116B9D" w14:textId="56B22871" w:rsidR="005A0365" w:rsidRDefault="005A0365" w:rsidP="005A0365">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 xml:space="preserve">Europos Žmogaus Teisių Teismo </w:t>
      </w:r>
      <w:r>
        <w:rPr>
          <w:rFonts w:ascii="Calibri" w:eastAsia="Times New Roman" w:hAnsi="Calibri" w:cs="Calibri"/>
          <w:b/>
        </w:rPr>
        <w:t xml:space="preserve">didžiosios kolegijos </w:t>
      </w:r>
      <w:r w:rsidRPr="007774CC">
        <w:rPr>
          <w:rFonts w:ascii="Calibri" w:eastAsia="Times New Roman" w:hAnsi="Calibri" w:cs="Calibri"/>
          <w:b/>
        </w:rPr>
        <w:t>202</w:t>
      </w:r>
      <w:r>
        <w:rPr>
          <w:rFonts w:ascii="Calibri" w:eastAsia="Times New Roman" w:hAnsi="Calibri" w:cs="Calibri"/>
          <w:b/>
        </w:rPr>
        <w:t>4</w:t>
      </w:r>
      <w:r w:rsidRPr="007774CC">
        <w:rPr>
          <w:rFonts w:ascii="Calibri" w:eastAsia="Times New Roman" w:hAnsi="Calibri" w:cs="Calibri"/>
          <w:b/>
        </w:rPr>
        <w:t xml:space="preserve"> m. </w:t>
      </w:r>
      <w:r>
        <w:rPr>
          <w:rFonts w:ascii="Calibri" w:eastAsia="Times New Roman" w:hAnsi="Calibri" w:cs="Calibri"/>
          <w:b/>
        </w:rPr>
        <w:t>balandžio 9 d</w:t>
      </w:r>
      <w:r w:rsidRPr="007774CC">
        <w:rPr>
          <w:rFonts w:ascii="Calibri" w:eastAsia="Times New Roman" w:hAnsi="Calibri" w:cs="Calibri"/>
          <w:b/>
        </w:rPr>
        <w:t>. sprendimas byloje</w:t>
      </w:r>
    </w:p>
    <w:p w14:paraId="735A5440" w14:textId="77777777" w:rsidR="005A0365" w:rsidRPr="00142BEE" w:rsidRDefault="005A0365" w:rsidP="005A0365">
      <w:pPr>
        <w:keepNext/>
        <w:keepLines/>
        <w:spacing w:after="0" w:line="240" w:lineRule="auto"/>
        <w:jc w:val="center"/>
        <w:outlineLvl w:val="1"/>
        <w:rPr>
          <w:rFonts w:ascii="Calibri" w:eastAsia="Times New Roman" w:hAnsi="Calibri" w:cs="Times New Roman"/>
          <w:b/>
          <w:bCs/>
          <w:i/>
          <w:iCs/>
          <w:color w:val="2E74B5"/>
        </w:rPr>
      </w:pPr>
      <w:bookmarkStart w:id="23" w:name="_Toc181709491"/>
      <w:r w:rsidRPr="00142BEE">
        <w:rPr>
          <w:rFonts w:ascii="Calibri" w:eastAsia="Times New Roman" w:hAnsi="Calibri" w:cs="Times New Roman"/>
          <w:b/>
          <w:bCs/>
          <w:i/>
          <w:iCs/>
          <w:color w:val="2E74B5"/>
        </w:rPr>
        <w:t>Verein Klima</w:t>
      </w:r>
      <w:r>
        <w:rPr>
          <w:rFonts w:ascii="Calibri" w:eastAsia="Times New Roman" w:hAnsi="Calibri" w:cs="Times New Roman"/>
          <w:b/>
          <w:bCs/>
          <w:i/>
          <w:iCs/>
          <w:color w:val="2E74B5"/>
        </w:rPr>
        <w:t>S</w:t>
      </w:r>
      <w:r w:rsidRPr="00142BEE">
        <w:rPr>
          <w:rFonts w:ascii="Calibri" w:eastAsia="Times New Roman" w:hAnsi="Calibri" w:cs="Times New Roman"/>
          <w:b/>
          <w:bCs/>
          <w:i/>
          <w:iCs/>
          <w:color w:val="2E74B5"/>
        </w:rPr>
        <w:t>eniorinnen Schweiz</w:t>
      </w:r>
      <w:r>
        <w:rPr>
          <w:rFonts w:ascii="Calibri" w:eastAsia="Times New Roman" w:hAnsi="Calibri" w:cs="Times New Roman"/>
          <w:b/>
          <w:bCs/>
          <w:i/>
          <w:iCs/>
          <w:color w:val="2E74B5"/>
        </w:rPr>
        <w:t xml:space="preserve"> ir kiti</w:t>
      </w:r>
      <w:r w:rsidRPr="00142BEE">
        <w:rPr>
          <w:rFonts w:ascii="Calibri" w:eastAsia="Times New Roman" w:hAnsi="Calibri" w:cs="Times New Roman"/>
          <w:b/>
          <w:bCs/>
          <w:i/>
          <w:iCs/>
          <w:color w:val="2E74B5"/>
        </w:rPr>
        <w:t xml:space="preserve"> prieš </w:t>
      </w:r>
      <w:r>
        <w:rPr>
          <w:rFonts w:ascii="Calibri" w:eastAsia="Times New Roman" w:hAnsi="Calibri" w:cs="Times New Roman"/>
          <w:b/>
          <w:bCs/>
          <w:i/>
          <w:iCs/>
          <w:color w:val="2E74B5"/>
        </w:rPr>
        <w:t>Šveicariją</w:t>
      </w:r>
      <w:bookmarkEnd w:id="23"/>
    </w:p>
    <w:p w14:paraId="6B5F22F1" w14:textId="77777777" w:rsidR="005A0365" w:rsidRPr="003C00F2" w:rsidRDefault="005A0365" w:rsidP="005A0365">
      <w:pPr>
        <w:shd w:val="clear" w:color="auto" w:fill="FFFFFF"/>
        <w:spacing w:after="0" w:line="240" w:lineRule="auto"/>
        <w:ind w:right="-1"/>
        <w:jc w:val="center"/>
        <w:rPr>
          <w:rFonts w:ascii="Calibri" w:eastAsia="Calibri" w:hAnsi="Calibri" w:cs="Calibri"/>
          <w:b/>
        </w:rPr>
      </w:pPr>
      <w:r w:rsidRPr="0007243E">
        <w:rPr>
          <w:rFonts w:ascii="Calibri" w:eastAsia="Times New Roman" w:hAnsi="Calibri" w:cs="Calibri"/>
          <w:b/>
        </w:rPr>
        <w:t>(pareiškim</w:t>
      </w:r>
      <w:r>
        <w:rPr>
          <w:rFonts w:ascii="Calibri" w:eastAsia="Times New Roman" w:hAnsi="Calibri" w:cs="Calibri"/>
          <w:b/>
        </w:rPr>
        <w:t>o</w:t>
      </w:r>
      <w:r w:rsidRPr="0007243E">
        <w:rPr>
          <w:rFonts w:ascii="Calibri" w:eastAsia="Times New Roman" w:hAnsi="Calibri" w:cs="Calibri"/>
          <w:b/>
        </w:rPr>
        <w:t xml:space="preserve"> Nr. </w:t>
      </w:r>
      <w:r w:rsidRPr="00142BEE">
        <w:rPr>
          <w:rFonts w:ascii="Calibri" w:eastAsia="Times New Roman" w:hAnsi="Calibri" w:cs="Calibri"/>
          <w:b/>
        </w:rPr>
        <w:t>53600/20</w:t>
      </w:r>
      <w:r w:rsidRPr="00597151">
        <w:rPr>
          <w:rFonts w:ascii="Calibri" w:eastAsia="Calibri" w:hAnsi="Calibri" w:cs="Calibri"/>
          <w:b/>
        </w:rPr>
        <w:t xml:space="preserve">, svarbos lygis – </w:t>
      </w:r>
      <w:r w:rsidRPr="00C170C3">
        <w:rPr>
          <w:rFonts w:cstheme="minorHAnsi"/>
          <w:b/>
          <w:iCs/>
        </w:rPr>
        <w:t>svarbiausios bylos</w:t>
      </w:r>
      <w:r w:rsidRPr="00597151">
        <w:rPr>
          <w:rFonts w:ascii="Calibri" w:eastAsia="Times New Roman" w:hAnsi="Calibri" w:cs="Calibri"/>
          <w:b/>
        </w:rPr>
        <w:t>)</w:t>
      </w:r>
    </w:p>
    <w:p w14:paraId="3BCC75F5" w14:textId="77777777" w:rsidR="005A0365" w:rsidRPr="0007243E" w:rsidRDefault="005A0365" w:rsidP="005A0365">
      <w:pPr>
        <w:shd w:val="clear" w:color="auto" w:fill="FFFFFF"/>
        <w:spacing w:after="0" w:line="240" w:lineRule="auto"/>
        <w:ind w:right="-1" w:firstLine="567"/>
        <w:jc w:val="center"/>
        <w:rPr>
          <w:rFonts w:ascii="Calibri" w:eastAsia="Times New Roman" w:hAnsi="Calibri" w:cs="Calibri"/>
          <w:b/>
          <w:bCs/>
          <w:color w:val="000000"/>
        </w:rPr>
      </w:pPr>
    </w:p>
    <w:p w14:paraId="2DD5FBF7" w14:textId="77777777" w:rsidR="005A0365" w:rsidRPr="00734E33" w:rsidRDefault="005A0365" w:rsidP="005A0365">
      <w:pPr>
        <w:keepNext/>
        <w:keepLines/>
        <w:spacing w:after="0" w:line="240" w:lineRule="auto"/>
        <w:ind w:right="-1" w:firstLine="567"/>
        <w:jc w:val="both"/>
        <w:outlineLvl w:val="2"/>
        <w:rPr>
          <w:rFonts w:ascii="Calibri" w:eastAsia="Calibri" w:hAnsi="Calibri" w:cs="Calibri"/>
          <w:bCs/>
          <w:i/>
          <w:iCs/>
        </w:rPr>
      </w:pPr>
      <w:bookmarkStart w:id="24" w:name="_Toc181709492"/>
      <w:r w:rsidRPr="00EC6462">
        <w:rPr>
          <w:rFonts w:ascii="Calibri" w:eastAsia="Calibri" w:hAnsi="Calibri" w:cs="Calibri"/>
          <w:bCs/>
          <w:i/>
          <w:iCs/>
        </w:rPr>
        <w:t>Dėl nepakankamo kovos su klimato kaita priemonių įgyvendinimo</w:t>
      </w:r>
      <w:bookmarkEnd w:id="24"/>
    </w:p>
    <w:p w14:paraId="053002E8" w14:textId="77777777" w:rsidR="005A0365" w:rsidRPr="00734E33" w:rsidRDefault="005A0365" w:rsidP="005A0365">
      <w:pPr>
        <w:shd w:val="clear" w:color="auto" w:fill="FFFFFF"/>
        <w:spacing w:after="0" w:line="240" w:lineRule="auto"/>
        <w:ind w:right="-1"/>
        <w:jc w:val="center"/>
        <w:rPr>
          <w:rFonts w:ascii="Calibri" w:eastAsia="Times New Roman" w:hAnsi="Calibri" w:cs="Calibri"/>
          <w:b/>
          <w:bCs/>
          <w:color w:val="000000"/>
        </w:rPr>
      </w:pPr>
    </w:p>
    <w:p w14:paraId="1DEC3F65" w14:textId="77777777" w:rsidR="005A0365" w:rsidRPr="00734E33" w:rsidRDefault="005A0365" w:rsidP="005A0365">
      <w:pPr>
        <w:shd w:val="clear" w:color="auto" w:fill="FFFFFF"/>
        <w:spacing w:after="0" w:line="240" w:lineRule="auto"/>
        <w:ind w:right="-1"/>
        <w:jc w:val="center"/>
        <w:rPr>
          <w:rFonts w:ascii="Calibri" w:eastAsia="Times New Roman" w:hAnsi="Calibri" w:cs="Calibri"/>
          <w:b/>
          <w:bCs/>
          <w:color w:val="000000"/>
        </w:rPr>
      </w:pPr>
      <w:r w:rsidRPr="00734E33">
        <w:rPr>
          <w:rFonts w:ascii="Calibri" w:eastAsia="Times New Roman" w:hAnsi="Calibri" w:cs="Calibri"/>
          <w:b/>
          <w:bCs/>
          <w:color w:val="000000"/>
        </w:rPr>
        <w:t>Faktinės aplinkybės</w:t>
      </w:r>
    </w:p>
    <w:p w14:paraId="0B48D99D" w14:textId="77777777" w:rsidR="005A0365" w:rsidRDefault="005A0365" w:rsidP="005A0365">
      <w:pPr>
        <w:shd w:val="clear" w:color="auto" w:fill="FFFFFF"/>
        <w:spacing w:after="0" w:line="240" w:lineRule="auto"/>
        <w:ind w:right="-1"/>
        <w:jc w:val="center"/>
        <w:rPr>
          <w:rFonts w:eastAsia="Times New Roman" w:cstheme="minorHAnsi"/>
        </w:rPr>
      </w:pPr>
    </w:p>
    <w:p w14:paraId="04D1204C" w14:textId="77777777" w:rsidR="005A0365" w:rsidRDefault="005A0365" w:rsidP="005A0365">
      <w:pPr>
        <w:shd w:val="clear" w:color="auto" w:fill="FFFFFF"/>
        <w:spacing w:after="0" w:line="240" w:lineRule="auto"/>
        <w:ind w:right="-1" w:firstLine="567"/>
        <w:jc w:val="both"/>
        <w:rPr>
          <w:rFonts w:eastAsia="Times New Roman" w:cstheme="minorHAnsi"/>
        </w:rPr>
      </w:pPr>
      <w:r>
        <w:rPr>
          <w:rFonts w:eastAsia="Times New Roman" w:cstheme="minorHAnsi"/>
        </w:rPr>
        <w:t>Pareiškėjos</w:t>
      </w:r>
      <w:r w:rsidRPr="00EE20B5">
        <w:rPr>
          <w:rFonts w:eastAsia="Times New Roman" w:cstheme="minorHAnsi"/>
        </w:rPr>
        <w:t xml:space="preserve"> yra</w:t>
      </w:r>
      <w:r>
        <w:rPr>
          <w:rFonts w:eastAsia="Times New Roman" w:cstheme="minorHAnsi"/>
        </w:rPr>
        <w:t xml:space="preserve">: </w:t>
      </w:r>
      <w:r w:rsidRPr="00EE20B5">
        <w:rPr>
          <w:rFonts w:eastAsia="Times New Roman" w:cstheme="minorHAnsi"/>
        </w:rPr>
        <w:t xml:space="preserve">pagal Šveicarijos teisę veikianti asociacija, įsteigta siekiant skatinti ir įgyvendinti veiksmingą klimato apsaugą savo narių </w:t>
      </w:r>
      <w:r>
        <w:rPr>
          <w:rFonts w:eastAsia="Times New Roman" w:cstheme="minorHAnsi"/>
        </w:rPr>
        <w:t>–</w:t>
      </w:r>
      <w:r w:rsidRPr="00EE20B5">
        <w:rPr>
          <w:rFonts w:eastAsia="Times New Roman" w:cstheme="minorHAnsi"/>
        </w:rPr>
        <w:t xml:space="preserve"> daugiau kaip 2 000 vyresnio amžiaus moterų (dauguma jų yra vyresnės nei 70 metų) </w:t>
      </w:r>
      <w:r>
        <w:rPr>
          <w:rFonts w:eastAsia="Times New Roman" w:cstheme="minorHAnsi"/>
        </w:rPr>
        <w:t>–</w:t>
      </w:r>
      <w:r w:rsidRPr="00EE20B5">
        <w:rPr>
          <w:rFonts w:eastAsia="Times New Roman" w:cstheme="minorHAnsi"/>
        </w:rPr>
        <w:t xml:space="preserve"> vardu, ir</w:t>
      </w:r>
      <w:r>
        <w:rPr>
          <w:rFonts w:eastAsia="Times New Roman" w:cstheme="minorHAnsi"/>
        </w:rPr>
        <w:t xml:space="preserve"> </w:t>
      </w:r>
      <w:r w:rsidRPr="00EE20B5">
        <w:rPr>
          <w:rFonts w:eastAsia="Times New Roman" w:cstheme="minorHAnsi"/>
        </w:rPr>
        <w:t>keturios moterys, visos asociacijos narės, vyresnės nei 80 metų amžiaus, kurios skundžiasi sveikatos problemomis, paaštrėjančiomis per karščius ir darančiomis didelę įtaką jų gyvenimui, gyvenimo sąlygoms ir sveikatai.</w:t>
      </w:r>
    </w:p>
    <w:p w14:paraId="65D0C94A" w14:textId="77777777" w:rsidR="005A0365" w:rsidRDefault="005A0365" w:rsidP="005A0365">
      <w:pPr>
        <w:shd w:val="clear" w:color="auto" w:fill="FFFFFF"/>
        <w:spacing w:after="0" w:line="240" w:lineRule="auto"/>
        <w:ind w:right="-1" w:firstLine="567"/>
        <w:jc w:val="both"/>
        <w:rPr>
          <w:rFonts w:eastAsia="Times New Roman" w:cstheme="minorHAnsi"/>
        </w:rPr>
      </w:pPr>
      <w:r w:rsidRPr="00C9057B">
        <w:rPr>
          <w:rFonts w:eastAsia="Times New Roman" w:cstheme="minorHAnsi"/>
        </w:rPr>
        <w:t xml:space="preserve">Pareiškėjų prašymai </w:t>
      </w:r>
      <w:r>
        <w:rPr>
          <w:rFonts w:eastAsia="Times New Roman" w:cstheme="minorHAnsi"/>
        </w:rPr>
        <w:t>įvairioms</w:t>
      </w:r>
      <w:r w:rsidRPr="00C9057B">
        <w:rPr>
          <w:rFonts w:eastAsia="Times New Roman" w:cstheme="minorHAnsi"/>
        </w:rPr>
        <w:t xml:space="preserve"> institucij</w:t>
      </w:r>
      <w:r>
        <w:rPr>
          <w:rFonts w:eastAsia="Times New Roman" w:cstheme="minorHAnsi"/>
        </w:rPr>
        <w:t>oms</w:t>
      </w:r>
      <w:r w:rsidRPr="00C9057B">
        <w:rPr>
          <w:rFonts w:eastAsia="Times New Roman" w:cstheme="minorHAnsi"/>
        </w:rPr>
        <w:t xml:space="preserve">, kuriuose </w:t>
      </w:r>
      <w:r>
        <w:rPr>
          <w:rFonts w:eastAsia="Times New Roman" w:cstheme="minorHAnsi"/>
        </w:rPr>
        <w:t xml:space="preserve">buvo </w:t>
      </w:r>
      <w:r w:rsidRPr="00C9057B">
        <w:rPr>
          <w:rFonts w:eastAsia="Times New Roman" w:cstheme="minorHAnsi"/>
        </w:rPr>
        <w:t>nurodomi įvairūs nesklandumai klimato apsaugos srityje ir siek</w:t>
      </w:r>
      <w:r>
        <w:rPr>
          <w:rFonts w:eastAsia="Times New Roman" w:cstheme="minorHAnsi"/>
        </w:rPr>
        <w:t>ta</w:t>
      </w:r>
      <w:r w:rsidRPr="00C9057B">
        <w:rPr>
          <w:rFonts w:eastAsia="Times New Roman" w:cstheme="minorHAnsi"/>
        </w:rPr>
        <w:t xml:space="preserve"> atitinkamų institucijų kompetencijai priklausanči</w:t>
      </w:r>
      <w:r>
        <w:rPr>
          <w:rFonts w:eastAsia="Times New Roman" w:cstheme="minorHAnsi"/>
        </w:rPr>
        <w:t>ų</w:t>
      </w:r>
      <w:r w:rsidRPr="00C9057B">
        <w:rPr>
          <w:rFonts w:eastAsia="Times New Roman" w:cstheme="minorHAnsi"/>
        </w:rPr>
        <w:t xml:space="preserve"> priemon</w:t>
      </w:r>
      <w:r>
        <w:rPr>
          <w:rFonts w:eastAsia="Times New Roman" w:cstheme="minorHAnsi"/>
        </w:rPr>
        <w:t>ių</w:t>
      </w:r>
      <w:r w:rsidRPr="00C9057B">
        <w:rPr>
          <w:rFonts w:eastAsia="Times New Roman" w:cstheme="minorHAnsi"/>
        </w:rPr>
        <w:t xml:space="preserve"> klimato kaitos srityje</w:t>
      </w:r>
      <w:r>
        <w:rPr>
          <w:rFonts w:eastAsia="Times New Roman" w:cstheme="minorHAnsi"/>
        </w:rPr>
        <w:t xml:space="preserve"> įgyvendinimo</w:t>
      </w:r>
      <w:r w:rsidRPr="00C9057B">
        <w:rPr>
          <w:rFonts w:eastAsia="Times New Roman" w:cstheme="minorHAnsi"/>
        </w:rPr>
        <w:t xml:space="preserve">, </w:t>
      </w:r>
      <w:r>
        <w:rPr>
          <w:rFonts w:eastAsia="Times New Roman" w:cstheme="minorHAnsi"/>
        </w:rPr>
        <w:t>be kita ko,</w:t>
      </w:r>
      <w:r w:rsidRPr="00C9057B">
        <w:rPr>
          <w:rFonts w:eastAsia="Times New Roman" w:cstheme="minorHAnsi"/>
        </w:rPr>
        <w:t xml:space="preserve"> </w:t>
      </w:r>
      <w:r>
        <w:rPr>
          <w:rFonts w:eastAsia="Times New Roman" w:cstheme="minorHAnsi"/>
        </w:rPr>
        <w:t xml:space="preserve">priimti </w:t>
      </w:r>
      <w:r w:rsidRPr="00C9057B">
        <w:rPr>
          <w:rFonts w:eastAsia="Times New Roman" w:cstheme="minorHAnsi"/>
        </w:rPr>
        <w:t>sprendim</w:t>
      </w:r>
      <w:r>
        <w:rPr>
          <w:rFonts w:eastAsia="Times New Roman" w:cstheme="minorHAnsi"/>
        </w:rPr>
        <w:t>ą</w:t>
      </w:r>
      <w:r w:rsidRPr="00C9057B">
        <w:rPr>
          <w:rFonts w:eastAsia="Times New Roman" w:cstheme="minorHAnsi"/>
        </w:rPr>
        <w:t xml:space="preserve"> dėl veiksmų, kurių reikia imtis, įskaitant priemones, skirtas Paryžiaus susitarime nustatytam 2030 m. tikslui pasiekti, buvo atmesti. J</w:t>
      </w:r>
      <w:r>
        <w:rPr>
          <w:rFonts w:eastAsia="Times New Roman" w:cstheme="minorHAnsi"/>
        </w:rPr>
        <w:t>os</w:t>
      </w:r>
      <w:r w:rsidRPr="00C9057B">
        <w:rPr>
          <w:rFonts w:eastAsia="Times New Roman" w:cstheme="minorHAnsi"/>
        </w:rPr>
        <w:t xml:space="preserve"> nesėkmingai </w:t>
      </w:r>
      <w:r w:rsidRPr="00D82884">
        <w:rPr>
          <w:rFonts w:eastAsia="Times New Roman" w:cstheme="minorHAnsi"/>
        </w:rPr>
        <w:t>kreipėsi į Federalinį aukščiausiąjį teismą.</w:t>
      </w:r>
    </w:p>
    <w:p w14:paraId="15C7193E" w14:textId="77777777" w:rsidR="005A0365" w:rsidRDefault="005A0365" w:rsidP="005A0365">
      <w:pPr>
        <w:shd w:val="clear" w:color="auto" w:fill="FFFFFF"/>
        <w:spacing w:after="0" w:line="240" w:lineRule="auto"/>
        <w:ind w:right="-1" w:firstLine="567"/>
        <w:jc w:val="both"/>
        <w:rPr>
          <w:rFonts w:eastAsia="Times New Roman" w:cstheme="minorHAnsi"/>
        </w:rPr>
      </w:pPr>
      <w:r w:rsidRPr="00BE367F">
        <w:rPr>
          <w:rFonts w:eastAsia="Times New Roman" w:cstheme="minorHAnsi"/>
        </w:rPr>
        <w:t>Remdam</w:t>
      </w:r>
      <w:r>
        <w:rPr>
          <w:rFonts w:eastAsia="Times New Roman" w:cstheme="minorHAnsi"/>
        </w:rPr>
        <w:t>os</w:t>
      </w:r>
      <w:r w:rsidRPr="00BE367F">
        <w:rPr>
          <w:rFonts w:eastAsia="Times New Roman" w:cstheme="minorHAnsi"/>
        </w:rPr>
        <w:t>i Konvencijos 2 ir 8 straipsniais, pareiškėj</w:t>
      </w:r>
      <w:r>
        <w:rPr>
          <w:rFonts w:eastAsia="Times New Roman" w:cstheme="minorHAnsi"/>
        </w:rPr>
        <w:t>os</w:t>
      </w:r>
      <w:r w:rsidRPr="00BE367F">
        <w:rPr>
          <w:rFonts w:eastAsia="Times New Roman" w:cstheme="minorHAnsi"/>
        </w:rPr>
        <w:t xml:space="preserve"> skund</w:t>
      </w:r>
      <w:r>
        <w:rPr>
          <w:rFonts w:eastAsia="Times New Roman" w:cstheme="minorHAnsi"/>
        </w:rPr>
        <w:t>ė</w:t>
      </w:r>
      <w:r w:rsidRPr="00BE367F">
        <w:rPr>
          <w:rFonts w:eastAsia="Times New Roman" w:cstheme="minorHAnsi"/>
        </w:rPr>
        <w:t xml:space="preserve">si dėl įvairių Šveicarijos valdžios institucijų neveikimo siekiant sušvelninti klimato kaitą, </w:t>
      </w:r>
      <w:r>
        <w:rPr>
          <w:rFonts w:eastAsia="Times New Roman" w:cstheme="minorHAnsi"/>
        </w:rPr>
        <w:t xml:space="preserve">pirmiausia </w:t>
      </w:r>
      <w:r w:rsidRPr="00BE367F">
        <w:rPr>
          <w:rFonts w:eastAsia="Times New Roman" w:cstheme="minorHAnsi"/>
        </w:rPr>
        <w:t>visuotinio atšilimo poveikį, kuris neigiamai veikia atskirų pareiškėjų ir pareiškėj</w:t>
      </w:r>
      <w:r>
        <w:rPr>
          <w:rFonts w:eastAsia="Times New Roman" w:cstheme="minorHAnsi"/>
        </w:rPr>
        <w:t>os</w:t>
      </w:r>
      <w:r w:rsidRPr="00BE367F">
        <w:rPr>
          <w:rFonts w:eastAsia="Times New Roman" w:cstheme="minorHAnsi"/>
        </w:rPr>
        <w:t xml:space="preserve"> asociacijos narių gyvenimą, gyvenimo sąlygas ir sveikatą. Šiomis aplinkybėmis j</w:t>
      </w:r>
      <w:r>
        <w:rPr>
          <w:rFonts w:eastAsia="Times New Roman" w:cstheme="minorHAnsi"/>
        </w:rPr>
        <w:t>os</w:t>
      </w:r>
      <w:r w:rsidRPr="00BE367F">
        <w:rPr>
          <w:rFonts w:eastAsia="Times New Roman" w:cstheme="minorHAnsi"/>
        </w:rPr>
        <w:t xml:space="preserve"> teig</w:t>
      </w:r>
      <w:r>
        <w:rPr>
          <w:rFonts w:eastAsia="Times New Roman" w:cstheme="minorHAnsi"/>
        </w:rPr>
        <w:t>ė</w:t>
      </w:r>
      <w:r w:rsidRPr="00BE367F">
        <w:rPr>
          <w:rFonts w:eastAsia="Times New Roman" w:cstheme="minorHAnsi"/>
        </w:rPr>
        <w:t>, kad valstybė nepriėmė tinkamų teisės aktų ir nesiėmė tinkamų ir pakankamų priemonių, kad būtų pasiekti kovos su klimato kaita tikslai, kaip numatyta jos tarptautiniuose įsipareigojimuose. Pareiškėj</w:t>
      </w:r>
      <w:r>
        <w:rPr>
          <w:rFonts w:eastAsia="Times New Roman" w:cstheme="minorHAnsi"/>
        </w:rPr>
        <w:t>os</w:t>
      </w:r>
      <w:r w:rsidRPr="00BE367F">
        <w:rPr>
          <w:rFonts w:eastAsia="Times New Roman" w:cstheme="minorHAnsi"/>
        </w:rPr>
        <w:t xml:space="preserve"> taip pat skund</w:t>
      </w:r>
      <w:r>
        <w:rPr>
          <w:rFonts w:eastAsia="Times New Roman" w:cstheme="minorHAnsi"/>
        </w:rPr>
        <w:t>ė</w:t>
      </w:r>
      <w:r w:rsidRPr="00BE367F">
        <w:rPr>
          <w:rFonts w:eastAsia="Times New Roman" w:cstheme="minorHAnsi"/>
        </w:rPr>
        <w:t>si, kad neturėjo galimybės kreiptis į teismą pagal</w:t>
      </w:r>
      <w:r>
        <w:rPr>
          <w:rFonts w:eastAsia="Times New Roman" w:cstheme="minorHAnsi"/>
        </w:rPr>
        <w:t xml:space="preserve"> Konvencijos</w:t>
      </w:r>
      <w:r w:rsidRPr="00BE367F">
        <w:rPr>
          <w:rFonts w:eastAsia="Times New Roman" w:cstheme="minorHAnsi"/>
        </w:rPr>
        <w:t xml:space="preserve"> 6 straipsnio 1 dalį dėl to, kad valstybė nesiėmė reikiamų veiksmų kovai su neigiamais klimato kaitos padariniais.</w:t>
      </w:r>
    </w:p>
    <w:p w14:paraId="12200E95" w14:textId="77777777" w:rsidR="005A0365" w:rsidRPr="0089498E" w:rsidRDefault="005A0365" w:rsidP="005A0365">
      <w:pPr>
        <w:spacing w:after="0" w:line="240" w:lineRule="auto"/>
        <w:ind w:firstLine="567"/>
        <w:jc w:val="both"/>
      </w:pPr>
    </w:p>
    <w:p w14:paraId="72DC204D" w14:textId="77777777" w:rsidR="005A0365" w:rsidRPr="0089498E" w:rsidRDefault="005A0365" w:rsidP="005A0365">
      <w:pPr>
        <w:shd w:val="clear" w:color="auto" w:fill="FFFFFF"/>
        <w:spacing w:after="0" w:line="240" w:lineRule="auto"/>
        <w:ind w:right="-1"/>
        <w:jc w:val="center"/>
        <w:rPr>
          <w:rFonts w:ascii="Calibri" w:eastAsia="Times New Roman" w:hAnsi="Calibri" w:cs="Calibri"/>
          <w:b/>
          <w:bCs/>
          <w:color w:val="000000"/>
        </w:rPr>
      </w:pPr>
      <w:r w:rsidRPr="0089498E">
        <w:rPr>
          <w:rFonts w:ascii="Calibri" w:eastAsia="Times New Roman" w:hAnsi="Calibri" w:cs="Calibri"/>
          <w:b/>
          <w:bCs/>
          <w:color w:val="000000"/>
        </w:rPr>
        <w:t>Neoficiali Teismo sprendimo apžvalga</w:t>
      </w:r>
    </w:p>
    <w:p w14:paraId="01D01054" w14:textId="77777777" w:rsidR="005A0365" w:rsidRDefault="005A0365" w:rsidP="005A0365">
      <w:pPr>
        <w:spacing w:after="0" w:line="240" w:lineRule="auto"/>
        <w:ind w:firstLine="567"/>
      </w:pPr>
    </w:p>
    <w:p w14:paraId="260F1ECA" w14:textId="77777777" w:rsidR="005A0365" w:rsidRDefault="005A0365" w:rsidP="005A0365">
      <w:pPr>
        <w:spacing w:after="0" w:line="240" w:lineRule="auto"/>
        <w:ind w:firstLine="567"/>
        <w:jc w:val="both"/>
      </w:pPr>
      <w:r w:rsidRPr="009A1754">
        <w:t xml:space="preserve">Pirmiausia Teismas pažymėjo, kad su klimato kaita susijusius klausimus jis gali spręsti tik pagal savo kompetenciją, numatytą Konvencijos 19 straipsnyje (Teismo įsteigimas), t. y. užtikrinti, kad būtų laikomasi įsipareigojimų, kuriuos prisiėmė Konvencijos ir jos protokolų Aukštosios Susitariančiosios Šalys. Kartu jis nepamiršo, kad netinkami valstybių veiksmai kovojant su klimato kaita didina žalingų padarinių riziką ir iš to kylančias grėsmes naudojimuisi žmogaus teisėmis </w:t>
      </w:r>
      <w:r>
        <w:t>–</w:t>
      </w:r>
      <w:r w:rsidRPr="009A1754">
        <w:t xml:space="preserve"> grėsmes, kurias jau pripažino pasaulio vyriausybės. Todėl </w:t>
      </w:r>
      <w:r>
        <w:t>nagrinėta</w:t>
      </w:r>
      <w:r w:rsidRPr="009A1754">
        <w:t xml:space="preserve"> situacija buvo susijusi su įtikinančiomis dabartinėmis sąlygomis, patvirtintomis mokslinėmis žiniomis, kurių Teismas, kaip teisminė institucija, kuriai pavesta užtikrinti žmogaus teisių įgyvendinimą, negalėjo ignoruoti.</w:t>
      </w:r>
    </w:p>
    <w:p w14:paraId="2D1CEEAC" w14:textId="77777777" w:rsidR="005A0365" w:rsidRDefault="005A0365" w:rsidP="005A0365">
      <w:pPr>
        <w:spacing w:after="0" w:line="240" w:lineRule="auto"/>
        <w:ind w:firstLine="567"/>
        <w:jc w:val="both"/>
      </w:pPr>
      <w:r w:rsidRPr="000333B3">
        <w:t>Teismas nustatė, kad yra pakankamai patikimų požymių, jog antropogeninė klimato kaita egzistuoja, kad ji kelia rimtą dabartinę ir būsimą grėsmę naudojimuisi Konvencijoje garantuojamomis žmogaus teisėmis, kad valstybės apie tai žino ir gali imtis priemonių jai veiksmingai spręsti, kad prognozuojama, jog atitinkama rizika bus mažesnė, jei temperatūros kilimas neviršys 1,5</w:t>
      </w:r>
      <w:r w:rsidRPr="000333B3">
        <w:rPr>
          <w:vertAlign w:val="superscript"/>
        </w:rPr>
        <w:t>o</w:t>
      </w:r>
      <w:r w:rsidRPr="000333B3">
        <w:t xml:space="preserve">C, palyginti su ikipramoninio laikotarpio lygiu, ir jei bus </w:t>
      </w:r>
      <w:r w:rsidRPr="000333B3">
        <w:lastRenderedPageBreak/>
        <w:t>imtasi skubių veiksmų. Ji</w:t>
      </w:r>
      <w:r>
        <w:t>s</w:t>
      </w:r>
      <w:r w:rsidRPr="000333B3">
        <w:t xml:space="preserve"> pažymėjo, kad dabartinių pasaulinių klimato kaitos švelninimo pastangų nepakanka šiam tikslui pasiekti. Ji</w:t>
      </w:r>
      <w:r>
        <w:t>s</w:t>
      </w:r>
      <w:r w:rsidRPr="000333B3">
        <w:t xml:space="preserve"> taip pat </w:t>
      </w:r>
      <w:r>
        <w:t>nurodė</w:t>
      </w:r>
      <w:r w:rsidRPr="000333B3">
        <w:t>, kad nors teisiniai valstybių įsipareigojimai pagal Konvenciją taikomi šiuo metu gyvenantiems asmenims, kurie tam tikru metu priklauso konkrečios Susitariančiosios Šalies jurisdikcijai, akivaizdu, kad būsimoms kartoms gali tekti vis sunkesnė dabartinių nesėkmių ir neveikimo kovojant su klimato kaita pasekmių našta.</w:t>
      </w:r>
    </w:p>
    <w:p w14:paraId="49FD0B4F" w14:textId="77777777" w:rsidR="005A0365" w:rsidRDefault="005A0365" w:rsidP="005A0365">
      <w:pPr>
        <w:spacing w:after="0" w:line="240" w:lineRule="auto"/>
        <w:ind w:firstLine="567"/>
        <w:jc w:val="both"/>
      </w:pPr>
      <w:r w:rsidRPr="00EB2138">
        <w:t xml:space="preserve">Atsižvelgdamas į tai, Teismas toliau nagrinėjo atskirų pareiškėjų </w:t>
      </w:r>
      <w:r>
        <w:t>aukos</w:t>
      </w:r>
      <w:r w:rsidRPr="00EB2138">
        <w:t xml:space="preserve"> statusą</w:t>
      </w:r>
      <w:r>
        <w:t xml:space="preserve"> (angl. </w:t>
      </w:r>
      <w:r w:rsidRPr="00EB2138">
        <w:rPr>
          <w:i/>
          <w:iCs/>
        </w:rPr>
        <w:t>victim status</w:t>
      </w:r>
      <w:r>
        <w:t>)</w:t>
      </w:r>
      <w:r w:rsidRPr="00EB2138">
        <w:t>, pareiškėj</w:t>
      </w:r>
      <w:r>
        <w:t>os</w:t>
      </w:r>
      <w:r w:rsidRPr="00EB2138">
        <w:t xml:space="preserve"> asociacijos teisę pateikti bylą teismui (</w:t>
      </w:r>
      <w:r w:rsidRPr="00EB2138">
        <w:rPr>
          <w:i/>
          <w:iCs/>
        </w:rPr>
        <w:t>locus standi</w:t>
      </w:r>
      <w:r w:rsidRPr="00EB2138">
        <w:t>) ir Konvencijos 2 ir 8 straipsnių taikymą.</w:t>
      </w:r>
    </w:p>
    <w:p w14:paraId="0BA7B2D7" w14:textId="144F3ECC" w:rsidR="005A0365" w:rsidRDefault="005A0365" w:rsidP="005A0365">
      <w:pPr>
        <w:spacing w:after="0" w:line="240" w:lineRule="auto"/>
        <w:ind w:firstLine="567"/>
        <w:jc w:val="both"/>
      </w:pPr>
      <w:r w:rsidRPr="00D90675">
        <w:t xml:space="preserve">Teismas nusprendė, kad, </w:t>
      </w:r>
      <w:r w:rsidRPr="00C57DBF">
        <w:rPr>
          <w:u w:val="single"/>
        </w:rPr>
        <w:t>siekdami pagrįsti aukos statusą pagal Konvencijos 34 straipsnį dėl skundų, susijusių su klimato kaita, atskiri pareiškėjai turi įrodyti, kad jie asmeniškai ir tiesiogiai nukentėjo nuo vyriausybės veiksmų ar neveikimo. Tai priklauso nuo dviejų pagrindinių kriterijų: (a) didelis pareiškėjo susidūrimo su neigiamu klimato kaitos poveikiu intensyvumas ir b) neatidėliotinas poreikis užtikrinti pareiškėjo individualią apsaugą.</w:t>
      </w:r>
      <w:r w:rsidRPr="00D90675">
        <w:t xml:space="preserve"> </w:t>
      </w:r>
      <w:r w:rsidRPr="00C57DBF">
        <w:rPr>
          <w:u w:val="single"/>
        </w:rPr>
        <w:t xml:space="preserve">Teismas pabrėžė, kad aukos statuso nustatymo slenkstis klimato kaitos bylose yra ypač aukštas </w:t>
      </w:r>
      <w:r w:rsidR="002F735E">
        <w:rPr>
          <w:u w:val="single"/>
        </w:rPr>
        <w:t>–</w:t>
      </w:r>
      <w:r w:rsidRPr="00C57DBF">
        <w:rPr>
          <w:u w:val="single"/>
        </w:rPr>
        <w:t xml:space="preserve"> pagal Konvenciją nepriimami skundai dėl </w:t>
      </w:r>
      <w:r w:rsidR="005C2E79">
        <w:rPr>
          <w:u w:val="single"/>
        </w:rPr>
        <w:t>visuotinės ieškinio teisės</w:t>
      </w:r>
      <w:r w:rsidRPr="00C57DBF">
        <w:rPr>
          <w:u w:val="single"/>
        </w:rPr>
        <w:t xml:space="preserve"> (</w:t>
      </w:r>
      <w:r w:rsidRPr="00C57DBF">
        <w:rPr>
          <w:i/>
          <w:iCs/>
          <w:u w:val="single"/>
        </w:rPr>
        <w:t>actio popularis</w:t>
      </w:r>
      <w:r w:rsidRPr="00C57DBF">
        <w:rPr>
          <w:u w:val="single"/>
        </w:rPr>
        <w:t>).</w:t>
      </w:r>
      <w:r w:rsidRPr="00D90675">
        <w:t xml:space="preserve"> Atidžiai išnagrinėjęs individualių pareiškėjų skundų ir jų pateiktos medžiagos pobūdį ir apimtį, klimato kaitos neigiamo poveikio </w:t>
      </w:r>
      <w:r>
        <w:t>tikėtinumo</w:t>
      </w:r>
      <w:r w:rsidRPr="00D90675">
        <w:t xml:space="preserve"> ir (arba) tikimybės laipsnį laike, konkretų poveikį kiekvieno individualaus pareiškėjo gyvenimui, sveikatai ar gerovei, žalingo poveikio mastą ir trukmę, rizikos mastą (lokalus ar bendras) ir pareiškėjo pažeidžiamumo pobūdį, Teismas nustatė, kad keturi individualūs pareiškėjai neatitinka aukos statuso kriterijų pagal Konvencijos 34 straipsnį. Todėl </w:t>
      </w:r>
      <w:r>
        <w:t>Teismas</w:t>
      </w:r>
      <w:r w:rsidRPr="00D90675">
        <w:t xml:space="preserve"> paskelbė jų skundus nepriimtinais.</w:t>
      </w:r>
    </w:p>
    <w:p w14:paraId="51F570BD" w14:textId="746C369C" w:rsidR="005C2E79" w:rsidRPr="00694167" w:rsidRDefault="005C2E79" w:rsidP="005C2E79">
      <w:pPr>
        <w:spacing w:after="0" w:line="240" w:lineRule="auto"/>
        <w:ind w:firstLine="567"/>
        <w:jc w:val="both"/>
        <w:rPr>
          <w:rFonts w:eastAsia="Calibri"/>
        </w:rPr>
      </w:pPr>
      <w:r w:rsidRPr="00694167">
        <w:rPr>
          <w:rFonts w:eastAsia="Calibri"/>
        </w:rPr>
        <w:t xml:space="preserve">Dėl asociacijų Teismas nusprendė, kad dėl klimato kaitos, kaip bendro žmonijos rūpesčio, ypatumų ir poreikio skatinti naštos pasidalijimą tarp kartų tikslinga leisti asociacijoms kreiptis į teismą dėl klimato kaitos. Tačiau dėl Konvencijoje numatytos </w:t>
      </w:r>
      <w:r w:rsidRPr="00AF20FC">
        <w:rPr>
          <w:rFonts w:eastAsia="Calibri"/>
          <w:bCs/>
        </w:rPr>
        <w:t xml:space="preserve">visuotinės ieškinio teisės </w:t>
      </w:r>
      <w:r w:rsidRPr="00694167">
        <w:rPr>
          <w:rFonts w:eastAsia="Calibri"/>
        </w:rPr>
        <w:t>(</w:t>
      </w:r>
      <w:r w:rsidRPr="00694167">
        <w:rPr>
          <w:rFonts w:eastAsia="Calibri"/>
          <w:i/>
          <w:iCs/>
        </w:rPr>
        <w:t>actio popularis</w:t>
      </w:r>
      <w:r w:rsidRPr="00694167">
        <w:rPr>
          <w:rFonts w:eastAsia="Calibri"/>
        </w:rPr>
        <w:t xml:space="preserve">) išimties reikalaujama, kad asociacija pareiškėja, norėdama turėti teisę veikti asmenų vardu ir pateikti skundą dėl tariamo valstybės nesiėmimo tinkamų priemonių apsaugoti juos nuo žalingo klimato kaitos poveikio jų gyvybei ir sveikatai, atitiktų tam tikras sąlygas. </w:t>
      </w:r>
    </w:p>
    <w:p w14:paraId="4FF2F659" w14:textId="77777777" w:rsidR="005C2E79" w:rsidRPr="005C2E79" w:rsidRDefault="005C2E79" w:rsidP="005C2E79">
      <w:pPr>
        <w:spacing w:after="0" w:line="240" w:lineRule="auto"/>
        <w:ind w:firstLine="567"/>
        <w:jc w:val="both"/>
        <w:rPr>
          <w:rFonts w:eastAsia="Calibri"/>
          <w:u w:val="single"/>
        </w:rPr>
      </w:pPr>
      <w:r w:rsidRPr="005C2E79">
        <w:rPr>
          <w:rFonts w:eastAsia="Calibri"/>
          <w:u w:val="single"/>
        </w:rPr>
        <w:t>Siekiant asociacijai suteikti teisę veikti kitų asmenų vardu ir pateikti prašymą dėl tariamai nepakankamų valstybės priemonių, skirtų apsaugoti juos nuo neigiamų klimato kaitos padarinių žmogaus gyvenimui ir sveikatai, turi būti įvykdyti trys kriterijai:</w:t>
      </w:r>
    </w:p>
    <w:p w14:paraId="36E19F8E" w14:textId="77777777" w:rsidR="005C2E79" w:rsidRPr="00694167" w:rsidRDefault="005C2E79" w:rsidP="005C2E79">
      <w:pPr>
        <w:spacing w:after="0" w:line="240" w:lineRule="auto"/>
        <w:ind w:firstLine="567"/>
        <w:jc w:val="both"/>
        <w:rPr>
          <w:rFonts w:eastAsia="Calibri"/>
        </w:rPr>
      </w:pPr>
      <w:r w:rsidRPr="00694167">
        <w:rPr>
          <w:rFonts w:eastAsia="Calibri"/>
        </w:rPr>
        <w:t xml:space="preserve">– pirma, </w:t>
      </w:r>
      <w:r>
        <w:rPr>
          <w:rFonts w:eastAsia="Calibri"/>
        </w:rPr>
        <w:t>asociacija</w:t>
      </w:r>
      <w:r w:rsidRPr="00694167">
        <w:rPr>
          <w:rFonts w:eastAsia="Calibri"/>
        </w:rPr>
        <w:t xml:space="preserve"> turi būti teisėtai įsteigta atitinkamoje jurisdikcijoje arba turėti teisę veikti toje jurisdikcijoje; </w:t>
      </w:r>
    </w:p>
    <w:p w14:paraId="08B2E1A8" w14:textId="77777777" w:rsidR="005C2E79" w:rsidRPr="00694167" w:rsidRDefault="005C2E79" w:rsidP="005C2E79">
      <w:pPr>
        <w:spacing w:after="0" w:line="240" w:lineRule="auto"/>
        <w:ind w:firstLine="567"/>
        <w:jc w:val="both"/>
        <w:rPr>
          <w:rFonts w:eastAsia="Calibri"/>
        </w:rPr>
      </w:pPr>
      <w:r w:rsidRPr="00694167">
        <w:rPr>
          <w:rFonts w:eastAsia="Calibri"/>
        </w:rPr>
        <w:t xml:space="preserve">– antra, </w:t>
      </w:r>
      <w:r>
        <w:rPr>
          <w:rFonts w:eastAsia="Calibri"/>
        </w:rPr>
        <w:t>asociacija</w:t>
      </w:r>
      <w:r w:rsidRPr="00694167">
        <w:rPr>
          <w:rFonts w:eastAsia="Calibri"/>
        </w:rPr>
        <w:t xml:space="preserve"> turi įrodyti, kad siekia tikslo, atitinkančio jos įstatų tikslus, ginant savo narių arba kitų nukentėjusių asmenų žmogaus teises atitinkamoje jurisdikcijoje, nepriklausomai nuo to, ar tai apima kolektyvinį veiksmą šių teisių apsaugai nuo klimato kaitos keliamų grėsmių;</w:t>
      </w:r>
    </w:p>
    <w:p w14:paraId="5187A00E" w14:textId="77777777" w:rsidR="005C2E79" w:rsidRPr="00694167" w:rsidRDefault="005C2E79" w:rsidP="005C2E79">
      <w:pPr>
        <w:spacing w:after="0" w:line="240" w:lineRule="auto"/>
        <w:ind w:firstLine="567"/>
        <w:jc w:val="both"/>
        <w:rPr>
          <w:rFonts w:eastAsia="Calibri"/>
        </w:rPr>
      </w:pPr>
      <w:r w:rsidRPr="00694167">
        <w:rPr>
          <w:rFonts w:eastAsia="Calibri"/>
        </w:rPr>
        <w:t xml:space="preserve">– trečia, </w:t>
      </w:r>
      <w:r>
        <w:rPr>
          <w:rFonts w:eastAsia="Calibri"/>
        </w:rPr>
        <w:t>asociacija</w:t>
      </w:r>
      <w:r w:rsidRPr="00694167">
        <w:rPr>
          <w:rFonts w:eastAsia="Calibri"/>
        </w:rPr>
        <w:t xml:space="preserve"> turi įrodyti, kad ją galima laikyti tikrai kvalifikuota ir atstovaujančia veikti savo narių ar kitų nukentėjusių asmenų, esančių atitinkamoje jurisdikcijoje ir susidūrusių su specifinėmis klimato kaitos keliamomis grėsmėmis ar neigiamais padariniais jų gyvenimui, sveikatai ar gerovei.</w:t>
      </w:r>
    </w:p>
    <w:p w14:paraId="5B141180" w14:textId="77777777" w:rsidR="005C2E79" w:rsidRPr="00694167" w:rsidRDefault="005C2E79" w:rsidP="005C2E79">
      <w:pPr>
        <w:spacing w:after="0" w:line="240" w:lineRule="auto"/>
        <w:ind w:firstLine="567"/>
        <w:jc w:val="both"/>
        <w:rPr>
          <w:rFonts w:eastAsia="Calibri"/>
        </w:rPr>
      </w:pPr>
      <w:r>
        <w:rPr>
          <w:rFonts w:eastAsia="Calibri"/>
        </w:rPr>
        <w:t>Apžvelgiamoje byloje Teismas nurodė ir kitus reikšmingus veiksnius,</w:t>
      </w:r>
      <w:r w:rsidRPr="00694167">
        <w:rPr>
          <w:rFonts w:eastAsia="Calibri"/>
        </w:rPr>
        <w:t xml:space="preserve"> kaip</w:t>
      </w:r>
      <w:r>
        <w:rPr>
          <w:rFonts w:eastAsia="Calibri"/>
        </w:rPr>
        <w:t xml:space="preserve"> antai</w:t>
      </w:r>
      <w:r w:rsidRPr="00694167">
        <w:rPr>
          <w:rFonts w:eastAsia="Calibri"/>
        </w:rPr>
        <w:t xml:space="preserve"> asociacijos įsteigimo tikslas, jos nepelno siekiantis pobūdis, jos veiklos pobūdis ir mastas atitinkamoje jurisdikcijoje, narystė ir atstovavimas, </w:t>
      </w:r>
      <w:r>
        <w:rPr>
          <w:rFonts w:eastAsia="Calibri"/>
        </w:rPr>
        <w:t xml:space="preserve">veiklos </w:t>
      </w:r>
      <w:r w:rsidRPr="00694167">
        <w:rPr>
          <w:rFonts w:eastAsia="Calibri"/>
        </w:rPr>
        <w:t>principai ir valdymo skaidrumas bei</w:t>
      </w:r>
      <w:r>
        <w:rPr>
          <w:rFonts w:eastAsia="Calibri"/>
        </w:rPr>
        <w:t xml:space="preserve"> tai</w:t>
      </w:r>
      <w:r w:rsidRPr="00694167">
        <w:rPr>
          <w:rFonts w:eastAsia="Calibri"/>
        </w:rPr>
        <w:t xml:space="preserve">, </w:t>
      </w:r>
      <w:r>
        <w:rPr>
          <w:rFonts w:eastAsia="Calibri"/>
        </w:rPr>
        <w:t xml:space="preserve">ar, </w:t>
      </w:r>
      <w:r w:rsidRPr="00694167">
        <w:rPr>
          <w:rFonts w:eastAsia="Calibri"/>
        </w:rPr>
        <w:t xml:space="preserve">atsižvelgiant į konkrečias bylos aplinkybes, </w:t>
      </w:r>
      <w:r>
        <w:rPr>
          <w:rFonts w:eastAsia="Calibri"/>
        </w:rPr>
        <w:t xml:space="preserve">teisės kreiptis į teismą </w:t>
      </w:r>
      <w:r w:rsidRPr="00694167">
        <w:rPr>
          <w:rFonts w:eastAsia="Calibri"/>
        </w:rPr>
        <w:t xml:space="preserve">suteikimas būtų </w:t>
      </w:r>
      <w:r>
        <w:rPr>
          <w:rFonts w:eastAsia="Calibri"/>
        </w:rPr>
        <w:t>veiksmingas teisminės gynybos prasme</w:t>
      </w:r>
      <w:r w:rsidRPr="00694167">
        <w:rPr>
          <w:rFonts w:eastAsia="Calibri"/>
        </w:rPr>
        <w:t>. Asociacijos teis</w:t>
      </w:r>
      <w:r>
        <w:rPr>
          <w:rFonts w:eastAsia="Calibri"/>
        </w:rPr>
        <w:t>ei</w:t>
      </w:r>
      <w:r w:rsidRPr="00694167">
        <w:rPr>
          <w:rFonts w:eastAsia="Calibri"/>
        </w:rPr>
        <w:t xml:space="preserve"> veikti narių ar kitų nukentėjusių asmenų vardu atitinkamoje jurisdikcijoje netaikomas reikalavimas, kad asmenys, kurių vardu buvo iškelta byla, patys atitiktų aukos statuso reikalavimus klimato kaitos kontekste. Teismas taip pat gali</w:t>
      </w:r>
      <w:r>
        <w:rPr>
          <w:rFonts w:eastAsia="Calibri"/>
        </w:rPr>
        <w:t xml:space="preserve"> </w:t>
      </w:r>
      <w:r w:rsidRPr="00694167">
        <w:rPr>
          <w:rFonts w:eastAsia="Calibri"/>
        </w:rPr>
        <w:t>apsvarstyti, ar ir kokiu mastu jos nariai ar kiti nukentėję asmenys galėjo turėti prieigą prie teismo tose pačiose arba susijusiose nacionalinėse bylose.</w:t>
      </w:r>
    </w:p>
    <w:p w14:paraId="6726756A" w14:textId="2BF0423A" w:rsidR="005A0365" w:rsidRDefault="005A0365" w:rsidP="005C2E79">
      <w:pPr>
        <w:spacing w:after="0" w:line="240" w:lineRule="auto"/>
        <w:ind w:firstLine="567"/>
        <w:jc w:val="both"/>
      </w:pPr>
      <w:r w:rsidRPr="00C57DBF">
        <w:t xml:space="preserve">Atsižvelgdamas į šios bylos aplinkybes, Teismas nustatė, kad pareiškėja </w:t>
      </w:r>
      <w:r w:rsidR="002F735E" w:rsidRPr="00C57DBF">
        <w:t xml:space="preserve">asociacija </w:t>
      </w:r>
      <w:r w:rsidRPr="00C57DBF">
        <w:t xml:space="preserve">atitiko atitinkamus kriterijus ir turėjo reikiamą teisę veikti savo narių vardu šioje byloje. Teismas taip pat nusprendė, kad jos skundui taikytinas </w:t>
      </w:r>
      <w:r>
        <w:t xml:space="preserve">Konvencijos </w:t>
      </w:r>
      <w:r w:rsidRPr="00C57DBF">
        <w:t xml:space="preserve">8 </w:t>
      </w:r>
      <w:r w:rsidRPr="002F735E">
        <w:t>straipsnis. Atsižvelgęs į išvadą, kad pareiškėjos asociacijos skundui taikomas 8 straipsnis, Teismas nusprendė nenagrinėti bylos pagal 2 straipsnį. Tačiau jis pažymėjo, kad pagal šį straipsnį suformuluoti principai yra labai panašūs į suformuluotus pagal 8 straipsnį.</w:t>
      </w:r>
    </w:p>
    <w:p w14:paraId="49734238" w14:textId="77777777" w:rsidR="005A0365" w:rsidRDefault="005A0365" w:rsidP="005A0365">
      <w:pPr>
        <w:spacing w:after="0" w:line="240" w:lineRule="auto"/>
        <w:ind w:firstLine="567"/>
        <w:jc w:val="both"/>
      </w:pPr>
    </w:p>
    <w:p w14:paraId="65C02899" w14:textId="77777777" w:rsidR="005A0365" w:rsidRPr="00EF7D67" w:rsidRDefault="005A0365" w:rsidP="005A0365">
      <w:pPr>
        <w:spacing w:after="0" w:line="240" w:lineRule="auto"/>
        <w:ind w:firstLine="567"/>
        <w:jc w:val="both"/>
        <w:rPr>
          <w:i/>
          <w:iCs/>
        </w:rPr>
      </w:pPr>
      <w:r w:rsidRPr="00EF7D67">
        <w:rPr>
          <w:i/>
          <w:iCs/>
        </w:rPr>
        <w:t>Dėl Konvencijos 8 straipsnio pažeidimo</w:t>
      </w:r>
    </w:p>
    <w:p w14:paraId="17E24FA6" w14:textId="77777777" w:rsidR="005A0365" w:rsidRDefault="005A0365" w:rsidP="005A0365">
      <w:pPr>
        <w:spacing w:after="0" w:line="240" w:lineRule="auto"/>
        <w:ind w:firstLine="567"/>
        <w:jc w:val="both"/>
      </w:pPr>
    </w:p>
    <w:p w14:paraId="60165384" w14:textId="77777777" w:rsidR="005A0365" w:rsidRDefault="005A0365" w:rsidP="005A0365">
      <w:pPr>
        <w:spacing w:after="0" w:line="240" w:lineRule="auto"/>
        <w:ind w:firstLine="567"/>
        <w:jc w:val="both"/>
      </w:pPr>
      <w:r w:rsidRPr="000302D2">
        <w:t xml:space="preserve">Teismas nustatė, kad </w:t>
      </w:r>
      <w:r w:rsidRPr="000302D2">
        <w:rPr>
          <w:u w:val="single"/>
        </w:rPr>
        <w:t>Konvencijos 8 straipsnis apima asmenų teisę į veiksmingą valstybės institucijų apsaugą nuo rimto neigiamo klimato kaitos poveikio jų gyvenimui, sveikatai, gerovei ir gyvenimo kokybei</w:t>
      </w:r>
      <w:r w:rsidRPr="000302D2">
        <w:t>.</w:t>
      </w:r>
    </w:p>
    <w:p w14:paraId="538EE258" w14:textId="77777777" w:rsidR="005A0365" w:rsidRDefault="005A0365" w:rsidP="005A0365">
      <w:pPr>
        <w:spacing w:after="0" w:line="240" w:lineRule="auto"/>
        <w:ind w:firstLine="567"/>
        <w:jc w:val="both"/>
      </w:pPr>
      <w:r>
        <w:lastRenderedPageBreak/>
        <w:t>EŽTT nurodė, jog š</w:t>
      </w:r>
      <w:r w:rsidRPr="000302D2">
        <w:t>iame kontekste pagrindinė susitariančiosios valstybės pareiga yra priimti ir praktiškai taikyti taisykles ir priemones, galinčias sušvelninti esamą ir galimai negrįžtamą būsimą klimato kaitos poveikį. Ši pareiga kyla iš priežastinio ryšio tarp klimato kaitos ir naudojimosi Konvencijoje numatytomis teisėmis, taip pat iš to, kad Konvencijos, kaip žmogaus teisių apsaugos priemonės, objektas ir tikslas reikalauja, kad jos nuostatos būtų aiškinamos ir taikomos taip, kad būtų užtikrintos praktinės ir veiksmingos teisės. Teismas pabrėžė, kad jis yra kompetentingas aiškinti tik Konvencijos ir jos protokolų nuostatas.</w:t>
      </w:r>
      <w:r>
        <w:t xml:space="preserve"> </w:t>
      </w:r>
      <w:r w:rsidRPr="000302D2">
        <w:t>Vis dėlto ji</w:t>
      </w:r>
      <w:r>
        <w:t>s</w:t>
      </w:r>
      <w:r w:rsidRPr="000302D2">
        <w:t xml:space="preserve"> pažymėjo, kad pagal valstybių narių prisiimtus tarptautinius įsipareigojimus, visų pirma pagal Jungtinių Tautų bendrąją klimato kaitos konvenciją ir 2015 m. Paryžiaus susitarimą dėl klimato kaitos, ir atsižvelgiant į įtikinamas mokslines rekomendacijas, visų pirma Tarpvyriausybinės klimato kaitos komisijos, valstybės turi nustatyti būtinas taisykles ir priemones, kuriomis siekiama užkirsti kelią </w:t>
      </w:r>
      <w:r>
        <w:t>š</w:t>
      </w:r>
      <w:r w:rsidRPr="000302D2">
        <w:t xml:space="preserve">iltnamio efektą sukeliančių dujų (ŠESD) koncentracijos didėjimui Žemės atmosferoje ir vidutinės pasaulinės temperatūros kilimui virš lygio, galinčio sukelti rimtą ir negrįžtamą neigiamą poveikį žmogaus teisėms pagal </w:t>
      </w:r>
      <w:r>
        <w:t xml:space="preserve">Konvencijos </w:t>
      </w:r>
      <w:r w:rsidRPr="000302D2">
        <w:t>8 straipsnį. Siekiant veiksmingai gerbti šias teises, valstybės turi imtis priemonių, kad sumažintų išmetamų ŠESD kiekį, iš esmės per ateinančius tris dešimtmečius siekdamos grynojo neutralumo. Todėl valstybės turi nustatyti atitinkamus tikslus ir terminus, kurie turi būti neatsiejama vidaus reguliavimo sistemos dalis, kaip pagrindas klimato kaitos mažinimo priemonėms.</w:t>
      </w:r>
    </w:p>
    <w:p w14:paraId="2B8E1952" w14:textId="77777777" w:rsidR="005A0365" w:rsidRDefault="005A0365" w:rsidP="005A0365">
      <w:pPr>
        <w:spacing w:after="0" w:line="240" w:lineRule="auto"/>
        <w:ind w:firstLine="567"/>
        <w:jc w:val="both"/>
      </w:pPr>
      <w:r w:rsidRPr="000302D2">
        <w:t>Dėl pareiškėjos asociacijos skundo, susijusio su Šveicarija, Teismas nustatė, kad kuriant atitinkamą nacionalinę reguliavimo sistemą buvo esminių spragų, įskaitant tai, kad Šveicarijos valdžios institucijos, nustatydamos anglies dioksido biudžetą ar kitais būdais, kiekybiškai neapibrėžė nacionalinių šiltnamio efektą sukeliančių dujų (ŠESD) išmetimo apribojimų. Be to, Teismas pažymėjo, kad Šveicarija anksčiau neįvykdė savo ankstesnių ŠESD išmetimo mažinimo tikslų. Šveicarijos valdžios institucijos laiku ir tinkamai nesiėmė veiksmų, kad parengtų ir įgyvendintų atitinkamus teisės aktus ir priemones pagal savo pozityvius įsipareigojimus pagal Konvencijos 8 straipsnį, kurie buvo svarbūs klimato kaitos kontekste.</w:t>
      </w:r>
    </w:p>
    <w:p w14:paraId="056E1FFB" w14:textId="77777777" w:rsidR="005A0365" w:rsidRDefault="005A0365" w:rsidP="005A0365">
      <w:pPr>
        <w:spacing w:after="0" w:line="240" w:lineRule="auto"/>
        <w:ind w:firstLine="567"/>
        <w:jc w:val="both"/>
      </w:pPr>
      <w:r>
        <w:t xml:space="preserve">Konstatuota, kad </w:t>
      </w:r>
      <w:r w:rsidRPr="00FE2B14">
        <w:t>Šveicarijos Konfederacija viršijo savo diskreciją (</w:t>
      </w:r>
      <w:r>
        <w:t>„</w:t>
      </w:r>
      <w:r w:rsidRPr="00FE2B14">
        <w:t>vertinimo laisvę</w:t>
      </w:r>
      <w:r>
        <w:t>“</w:t>
      </w:r>
      <w:r w:rsidRPr="00FE2B14">
        <w:t>) ir šiuo atžvilgiu neįvykdė savo pareigų. Todėl buvo pažeistas Konvencijos 8 straipsnis.</w:t>
      </w:r>
    </w:p>
    <w:p w14:paraId="6CCD94B5" w14:textId="77777777" w:rsidR="005A0365" w:rsidRDefault="005A0365" w:rsidP="005A0365">
      <w:pPr>
        <w:spacing w:after="0" w:line="240" w:lineRule="auto"/>
        <w:ind w:firstLine="567"/>
        <w:jc w:val="both"/>
      </w:pPr>
    </w:p>
    <w:p w14:paraId="25CECA42" w14:textId="77777777" w:rsidR="005A0365" w:rsidRDefault="005A0365" w:rsidP="005A0365">
      <w:pPr>
        <w:spacing w:after="0" w:line="240" w:lineRule="auto"/>
        <w:ind w:firstLine="567"/>
        <w:jc w:val="both"/>
      </w:pPr>
      <w:r w:rsidRPr="00EF7D67">
        <w:rPr>
          <w:i/>
          <w:iCs/>
        </w:rPr>
        <w:t xml:space="preserve">Dėl Konvencijos </w:t>
      </w:r>
      <w:r>
        <w:rPr>
          <w:i/>
          <w:iCs/>
        </w:rPr>
        <w:t>6</w:t>
      </w:r>
      <w:r w:rsidRPr="00EF7D67">
        <w:rPr>
          <w:i/>
          <w:iCs/>
        </w:rPr>
        <w:t xml:space="preserve"> straipsnio </w:t>
      </w:r>
      <w:r>
        <w:rPr>
          <w:i/>
          <w:iCs/>
        </w:rPr>
        <w:t xml:space="preserve">1 dalies </w:t>
      </w:r>
      <w:r w:rsidRPr="00EF7D67">
        <w:rPr>
          <w:i/>
          <w:iCs/>
        </w:rPr>
        <w:t>pažeidimo</w:t>
      </w:r>
    </w:p>
    <w:p w14:paraId="09320C0A" w14:textId="77777777" w:rsidR="005A0365" w:rsidRDefault="005A0365" w:rsidP="005A0365">
      <w:pPr>
        <w:spacing w:after="0" w:line="240" w:lineRule="auto"/>
        <w:ind w:firstLine="567"/>
        <w:jc w:val="both"/>
      </w:pPr>
    </w:p>
    <w:p w14:paraId="600488BD" w14:textId="77777777" w:rsidR="005A0365" w:rsidRDefault="005A0365" w:rsidP="005A0365">
      <w:pPr>
        <w:spacing w:after="0" w:line="240" w:lineRule="auto"/>
        <w:ind w:firstLine="567"/>
        <w:jc w:val="both"/>
      </w:pPr>
      <w:r w:rsidRPr="00EF7D67">
        <w:t>Teismas nusprendė, kad Konvencijos 6 straipsnio 1 dalis taikytina pareiškėjos asociacijos skundui tiek, kiek jis susijęs su veiksmingu klimato kaitos švelninimo priemonių įgyvendinimu pagal galiojančią teisę, ir pakartojo, kad klimato kaitos kontekste ypač svarbūs kolektyviniai veiksmai. Pagal šią nuostatą pareiškėj</w:t>
      </w:r>
      <w:r>
        <w:t>a</w:t>
      </w:r>
      <w:r w:rsidRPr="00EF7D67">
        <w:t xml:space="preserve"> asociacija turėjo aukos statusą, o dėl panašių priežasčių, kaip ir vertinant pagal </w:t>
      </w:r>
      <w:r>
        <w:t xml:space="preserve">Konvencijos </w:t>
      </w:r>
      <w:r w:rsidRPr="00EF7D67">
        <w:t xml:space="preserve">8 straipsnį, individualūs pareiškėjai </w:t>
      </w:r>
      <w:r>
        <w:t xml:space="preserve">– </w:t>
      </w:r>
      <w:r w:rsidRPr="00EF7D67">
        <w:t>neturėjo</w:t>
      </w:r>
      <w:r>
        <w:t xml:space="preserve">. </w:t>
      </w:r>
    </w:p>
    <w:p w14:paraId="28FEA1D7" w14:textId="77777777" w:rsidR="005A0365" w:rsidRDefault="005A0365" w:rsidP="005A0365">
      <w:pPr>
        <w:spacing w:after="0" w:line="240" w:lineRule="auto"/>
        <w:ind w:firstLine="567"/>
        <w:jc w:val="both"/>
      </w:pPr>
      <w:r w:rsidRPr="00293A7A">
        <w:t>Teismas sutiko, kad vidaus teismų sprendimuose buvo stengiamasi atskirti individualios apsaugos klausimą nuo bendrojo viešojo intereso skundų (</w:t>
      </w:r>
      <w:r w:rsidRPr="00293A7A">
        <w:rPr>
          <w:i/>
          <w:iCs/>
        </w:rPr>
        <w:t>actio popularis</w:t>
      </w:r>
      <w:r w:rsidRPr="00293A7A">
        <w:t>), nes pagal Federalinio administracinio proceso įstatymo 25a straipsnį garantuojama tik individualių teisių apsauga. Vis dėlto Teismas nusprendė, kad tai, jog pareiškėj</w:t>
      </w:r>
      <w:r>
        <w:t>os</w:t>
      </w:r>
      <w:r w:rsidRPr="00293A7A">
        <w:t xml:space="preserve"> asociacijos </w:t>
      </w:r>
      <w:r>
        <w:t>skundą</w:t>
      </w:r>
      <w:r w:rsidRPr="00293A7A">
        <w:t xml:space="preserve"> atmetė iš pradžių administracinė institucija, o po to dviejų lygių nacionaliniai teismai, prilygo kišimuisi į jų teisę kreiptis į teismą.</w:t>
      </w:r>
    </w:p>
    <w:p w14:paraId="4B936D27" w14:textId="77777777" w:rsidR="005A0365" w:rsidRDefault="005A0365" w:rsidP="005A0365">
      <w:pPr>
        <w:spacing w:after="0" w:line="240" w:lineRule="auto"/>
        <w:ind w:firstLine="567"/>
        <w:jc w:val="both"/>
      </w:pPr>
      <w:r w:rsidRPr="001468B2">
        <w:t>Teismas nustatė, kad nacionaliniai teismai nepateikė įtikina</w:t>
      </w:r>
      <w:r>
        <w:t>nčių</w:t>
      </w:r>
      <w:r w:rsidRPr="001468B2">
        <w:t xml:space="preserve"> motyvų, kodėl jie manė, kad nereikia nagrinėti skundų iš esmės. Jie neatsižvelgė į įtikinamus mokslinius įrodymus, susijusius su klimato kaita, ir asociacijos skund</w:t>
      </w:r>
      <w:r>
        <w:t>ų</w:t>
      </w:r>
      <w:r w:rsidRPr="001468B2">
        <w:t xml:space="preserve"> </w:t>
      </w:r>
      <w:r>
        <w:t>nevertino</w:t>
      </w:r>
      <w:r w:rsidRPr="001468B2">
        <w:t xml:space="preserve"> rimtai. Kadangi pareiškėjai asociacijai ar atskiriems pareiškėjams (asociacijos nariams) nebuvo jokių kitų teisinių galimybių ar apsaugos priemonių, Teismas konstatavo, kad buvo pažeista Konvencijos 6 straipsnio 1 dalis.</w:t>
      </w:r>
    </w:p>
    <w:p w14:paraId="71CF45E9" w14:textId="4AAAAEB9" w:rsidR="005A0365" w:rsidRDefault="005A0365" w:rsidP="005A0365">
      <w:pPr>
        <w:spacing w:after="0" w:line="240" w:lineRule="auto"/>
        <w:ind w:firstLine="567"/>
        <w:jc w:val="both"/>
      </w:pPr>
      <w:r w:rsidRPr="00970332">
        <w:t xml:space="preserve">Teismas </w:t>
      </w:r>
      <w:r w:rsidR="002F735E">
        <w:t>pabrėžė</w:t>
      </w:r>
      <w:r w:rsidRPr="00970332">
        <w:t xml:space="preserve">, jog </w:t>
      </w:r>
      <w:r w:rsidRPr="00970332">
        <w:rPr>
          <w:u w:val="single"/>
        </w:rPr>
        <w:t>nacionaliniai teismai vaidina svarbų vaidmenį sprendžiant ginčus dėl klimato kaitos</w:t>
      </w:r>
      <w:r w:rsidRPr="00970332">
        <w:t xml:space="preserve">, ir tai atsispindi kai kurių Europos Tarybos valstybių narių iki šiol priimtoje teismų praktikoje. Jis </w:t>
      </w:r>
      <w:r w:rsidRPr="00970332">
        <w:rPr>
          <w:u w:val="single"/>
        </w:rPr>
        <w:t>pabrėžė teisės kreiptis į teismą svarbą šioje srityje</w:t>
      </w:r>
      <w:r w:rsidRPr="00970332">
        <w:t xml:space="preserve">. Be to, </w:t>
      </w:r>
      <w:r w:rsidRPr="00970332">
        <w:rPr>
          <w:u w:val="single"/>
        </w:rPr>
        <w:t>atsižvelgiant į bendros atsakomybės ir subsidiarumo principus, užtikrinti, kad būtų laikomasi Konvencijos įsipareigojimų, pirmiausia turi nacionalinės valdžios institucijos, įskaitant teismus</w:t>
      </w:r>
      <w:r w:rsidRPr="00970332">
        <w:t>.</w:t>
      </w:r>
    </w:p>
    <w:p w14:paraId="37B9E632" w14:textId="77777777" w:rsidR="005A0365" w:rsidRDefault="005A0365" w:rsidP="005A0365">
      <w:pPr>
        <w:spacing w:after="0" w:line="240" w:lineRule="auto"/>
        <w:ind w:firstLine="567"/>
      </w:pPr>
    </w:p>
    <w:p w14:paraId="71C0CB07" w14:textId="77777777" w:rsidR="005A0365" w:rsidRDefault="005A0365" w:rsidP="005A0365">
      <w:pPr>
        <w:spacing w:after="0" w:line="240" w:lineRule="auto"/>
        <w:ind w:right="-1" w:firstLine="567"/>
        <w:jc w:val="both"/>
        <w:rPr>
          <w:rFonts w:cstheme="minorHAnsi"/>
        </w:rPr>
      </w:pPr>
      <w:r w:rsidRPr="00D1455C">
        <w:rPr>
          <w:rFonts w:cstheme="minorHAnsi"/>
        </w:rPr>
        <w:t>Išvada</w:t>
      </w:r>
      <w:r>
        <w:rPr>
          <w:rFonts w:cstheme="minorHAnsi"/>
        </w:rPr>
        <w:t xml:space="preserve">: </w:t>
      </w:r>
      <w:r w:rsidRPr="00026747">
        <w:rPr>
          <w:rFonts w:cstheme="minorHAnsi"/>
        </w:rPr>
        <w:t>pažeistas Konvencijos 8 straipsnis</w:t>
      </w:r>
      <w:r w:rsidRPr="00026747">
        <w:t xml:space="preserve"> </w:t>
      </w:r>
      <w:r w:rsidRPr="00026747">
        <w:rPr>
          <w:rFonts w:cstheme="minorHAnsi"/>
        </w:rPr>
        <w:t>(</w:t>
      </w:r>
      <w:r>
        <w:rPr>
          <w:rFonts w:cstheme="minorHAnsi"/>
        </w:rPr>
        <w:t>1</w:t>
      </w:r>
      <w:r w:rsidRPr="00026747">
        <w:rPr>
          <w:rFonts w:cstheme="minorHAnsi"/>
        </w:rPr>
        <w:t>6 bals</w:t>
      </w:r>
      <w:r>
        <w:rPr>
          <w:rFonts w:cstheme="minorHAnsi"/>
        </w:rPr>
        <w:t>ų</w:t>
      </w:r>
      <w:r w:rsidRPr="00026747">
        <w:rPr>
          <w:rFonts w:cstheme="minorHAnsi"/>
        </w:rPr>
        <w:t xml:space="preserve"> prieš 1); pažeista Konvencijos 6 straipsnio 1 dalis</w:t>
      </w:r>
      <w:r>
        <w:rPr>
          <w:rFonts w:cstheme="minorHAnsi"/>
        </w:rPr>
        <w:t xml:space="preserve"> (v</w:t>
      </w:r>
      <w:r w:rsidRPr="00026747">
        <w:rPr>
          <w:rFonts w:cstheme="minorHAnsi"/>
        </w:rPr>
        <w:t>ienbalsiai</w:t>
      </w:r>
      <w:r>
        <w:rPr>
          <w:rFonts w:cstheme="minorHAnsi"/>
        </w:rPr>
        <w:t>).</w:t>
      </w:r>
      <w:r w:rsidRPr="00026747">
        <w:rPr>
          <w:rFonts w:cstheme="minorHAnsi"/>
        </w:rPr>
        <w:t xml:space="preserve"> </w:t>
      </w:r>
    </w:p>
    <w:p w14:paraId="0C39B499" w14:textId="77777777" w:rsidR="005A0365" w:rsidRPr="00C170C3" w:rsidRDefault="005A0365" w:rsidP="005A0365">
      <w:pPr>
        <w:spacing w:after="0" w:line="240" w:lineRule="auto"/>
        <w:ind w:right="-1" w:firstLine="567"/>
        <w:rPr>
          <w:rFonts w:ascii="Calibri" w:eastAsia="Calibri" w:hAnsi="Calibri" w:cs="Calibri"/>
        </w:rPr>
      </w:pPr>
      <w:r w:rsidRPr="00026747">
        <w:rPr>
          <w:rFonts w:ascii="Calibri" w:eastAsia="Calibri" w:hAnsi="Calibri" w:cs="Calibri"/>
        </w:rPr>
        <w:t>Pateikta atskiroji nuomonė.</w:t>
      </w:r>
    </w:p>
    <w:p w14:paraId="1CD1F82C" w14:textId="77777777" w:rsidR="005A0365" w:rsidRDefault="005A0365" w:rsidP="005A0365">
      <w:pPr>
        <w:shd w:val="clear" w:color="auto" w:fill="FFFFFF"/>
        <w:spacing w:after="0" w:line="240" w:lineRule="auto"/>
        <w:ind w:right="-1" w:firstLine="567"/>
        <w:jc w:val="both"/>
      </w:pPr>
      <w:hyperlink r:id="rId16" w:anchor="{%22itemid%22:[%22001-233206%22]}" w:history="1">
        <w:r>
          <w:rPr>
            <w:rStyle w:val="Hipersaitas"/>
          </w:rPr>
          <w:t>Prieiga internete</w:t>
        </w:r>
      </w:hyperlink>
      <w:r>
        <w:t xml:space="preserve"> </w:t>
      </w:r>
    </w:p>
    <w:p w14:paraId="7E7F1339" w14:textId="77777777" w:rsidR="005A0365" w:rsidRDefault="005A0365" w:rsidP="00105BCC">
      <w:pPr>
        <w:shd w:val="clear" w:color="auto" w:fill="FFFFFF"/>
        <w:spacing w:after="0" w:line="240" w:lineRule="auto"/>
        <w:ind w:right="-1"/>
        <w:rPr>
          <w:rFonts w:ascii="Calibri" w:eastAsia="Times New Roman" w:hAnsi="Calibri" w:cs="Calibri"/>
          <w:b/>
        </w:rPr>
      </w:pPr>
    </w:p>
    <w:p w14:paraId="3AC1590D" w14:textId="77777777" w:rsidR="00105BCC" w:rsidRDefault="00105BCC" w:rsidP="00105BCC">
      <w:pPr>
        <w:pBdr>
          <w:top w:val="nil"/>
          <w:left w:val="nil"/>
          <w:bottom w:val="nil"/>
          <w:right w:val="nil"/>
          <w:between w:val="nil"/>
        </w:pBdr>
        <w:tabs>
          <w:tab w:val="left" w:pos="851"/>
        </w:tabs>
        <w:spacing w:after="0" w:line="240" w:lineRule="auto"/>
        <w:ind w:right="-1"/>
        <w:jc w:val="center"/>
        <w:rPr>
          <w:b/>
          <w:bCs/>
        </w:rPr>
      </w:pPr>
      <w:r w:rsidRPr="00E961C8">
        <w:rPr>
          <w:b/>
          <w:bCs/>
        </w:rPr>
        <w:t>Europos Žmogaus Teisių Teismo 202</w:t>
      </w:r>
      <w:r>
        <w:rPr>
          <w:b/>
          <w:bCs/>
        </w:rPr>
        <w:t>4</w:t>
      </w:r>
      <w:r w:rsidRPr="00E961C8">
        <w:rPr>
          <w:b/>
          <w:bCs/>
        </w:rPr>
        <w:t xml:space="preserve"> m. </w:t>
      </w:r>
      <w:r>
        <w:rPr>
          <w:b/>
          <w:bCs/>
        </w:rPr>
        <w:t>gegužės 16</w:t>
      </w:r>
      <w:r w:rsidRPr="00E961C8">
        <w:rPr>
          <w:b/>
          <w:bCs/>
        </w:rPr>
        <w:t xml:space="preserve"> d. sprendimas byloje </w:t>
      </w:r>
    </w:p>
    <w:p w14:paraId="26821354" w14:textId="1079A868" w:rsidR="00105BCC" w:rsidRPr="00105BCC" w:rsidRDefault="00105BCC" w:rsidP="00105BCC">
      <w:pPr>
        <w:keepNext/>
        <w:keepLines/>
        <w:spacing w:after="0" w:line="240" w:lineRule="auto"/>
        <w:jc w:val="center"/>
        <w:outlineLvl w:val="1"/>
        <w:rPr>
          <w:rFonts w:ascii="Calibri" w:eastAsia="Times New Roman" w:hAnsi="Calibri" w:cs="Times New Roman"/>
          <w:b/>
          <w:bCs/>
          <w:i/>
          <w:iCs/>
          <w:color w:val="2E74B5"/>
        </w:rPr>
      </w:pPr>
      <w:bookmarkStart w:id="25" w:name="_Toc181709493"/>
      <w:r w:rsidRPr="00105BCC">
        <w:rPr>
          <w:rFonts w:ascii="Calibri" w:eastAsia="Times New Roman" w:hAnsi="Calibri" w:cs="Times New Roman"/>
          <w:b/>
          <w:bCs/>
          <w:i/>
          <w:iCs/>
          <w:color w:val="2E74B5"/>
        </w:rPr>
        <w:t>Mirzoyan</w:t>
      </w:r>
      <w:r>
        <w:rPr>
          <w:rFonts w:ascii="Calibri" w:eastAsia="Times New Roman" w:hAnsi="Calibri" w:cs="Times New Roman"/>
          <w:b/>
          <w:bCs/>
          <w:i/>
          <w:iCs/>
          <w:color w:val="2E74B5"/>
        </w:rPr>
        <w:t xml:space="preserve"> </w:t>
      </w:r>
      <w:r w:rsidRPr="00105BCC">
        <w:rPr>
          <w:rFonts w:ascii="Calibri" w:eastAsia="Times New Roman" w:hAnsi="Calibri" w:cs="Times New Roman"/>
          <w:b/>
          <w:bCs/>
          <w:i/>
          <w:iCs/>
          <w:color w:val="2E74B5"/>
        </w:rPr>
        <w:t>prieš Čekiją</w:t>
      </w:r>
      <w:bookmarkEnd w:id="25"/>
    </w:p>
    <w:p w14:paraId="672C3B8E" w14:textId="77777777" w:rsidR="00105BCC" w:rsidRPr="00536624" w:rsidRDefault="00105BCC" w:rsidP="00105BCC">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w:t>
      </w:r>
      <w:r>
        <w:rPr>
          <w:rFonts w:eastAsia="Times New Roman" w:cstheme="minorHAnsi"/>
          <w:b/>
        </w:rPr>
        <w:t>ų</w:t>
      </w:r>
      <w:r w:rsidRPr="00536624">
        <w:rPr>
          <w:rFonts w:eastAsia="Times New Roman" w:cstheme="minorHAnsi"/>
          <w:b/>
        </w:rPr>
        <w:t xml:space="preserve"> Nr. </w:t>
      </w:r>
      <w:r w:rsidRPr="00466645">
        <w:rPr>
          <w:rFonts w:eastAsia="Times New Roman" w:cstheme="minorHAnsi"/>
          <w:b/>
        </w:rPr>
        <w:t xml:space="preserve">15117/21 </w:t>
      </w:r>
      <w:r>
        <w:rPr>
          <w:rFonts w:eastAsia="Times New Roman" w:cstheme="minorHAnsi"/>
          <w:b/>
        </w:rPr>
        <w:t>ir</w:t>
      </w:r>
      <w:r w:rsidRPr="00466645">
        <w:rPr>
          <w:rFonts w:eastAsia="Times New Roman" w:cstheme="minorHAnsi"/>
          <w:b/>
        </w:rPr>
        <w:t xml:space="preserve"> 15689/21</w:t>
      </w:r>
      <w:r w:rsidRPr="00E816ED">
        <w:rPr>
          <w:rFonts w:eastAsia="Times New Roman" w:cstheme="minorHAnsi"/>
          <w:b/>
        </w:rPr>
        <w:t xml:space="preserve">, svarbos lygis – </w:t>
      </w:r>
      <w:r>
        <w:rPr>
          <w:rFonts w:eastAsia="Times New Roman" w:cstheme="minorHAnsi"/>
          <w:b/>
        </w:rPr>
        <w:t>2</w:t>
      </w:r>
      <w:r w:rsidRPr="00E816ED">
        <w:rPr>
          <w:rFonts w:eastAsia="Times New Roman" w:cstheme="minorHAnsi"/>
          <w:b/>
        </w:rPr>
        <w:t>)</w:t>
      </w:r>
    </w:p>
    <w:p w14:paraId="26F59FB6" w14:textId="77777777" w:rsidR="00105BCC" w:rsidRPr="00536624" w:rsidRDefault="00105BCC" w:rsidP="00105BCC">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37FCDCE3" w14:textId="77777777" w:rsidR="00105BCC" w:rsidRPr="00105BCC" w:rsidRDefault="00105BCC" w:rsidP="00105BCC">
      <w:pPr>
        <w:pStyle w:val="Antrat3"/>
        <w:spacing w:before="0" w:line="240" w:lineRule="auto"/>
        <w:ind w:right="-1" w:firstLine="567"/>
        <w:rPr>
          <w:rFonts w:ascii="Calibri" w:eastAsia="Times New Roman" w:hAnsi="Calibri" w:cs="Times New Roman"/>
        </w:rPr>
      </w:pPr>
      <w:bookmarkStart w:id="26" w:name="_Toc181709494"/>
      <w:r w:rsidRPr="00105BCC">
        <w:rPr>
          <w:rFonts w:ascii="Calibri" w:eastAsia="Times New Roman" w:hAnsi="Calibri" w:cs="Times New Roman"/>
        </w:rPr>
        <w:t>Dėl atsisakymo patenkinti grėsmę nacionaliniam saugumui ir viešajai tvarkai keliančio Rusijos piliečio prašymus pratęsti jo ilgalaikį leidimą gyventi verslo tikslais ir ilgalaikį leidimą gyventi šeimos tikslais</w:t>
      </w:r>
      <w:bookmarkEnd w:id="26"/>
      <w:r w:rsidRPr="00105BCC">
        <w:rPr>
          <w:rFonts w:ascii="Calibri" w:eastAsia="Times New Roman" w:hAnsi="Calibri" w:cs="Times New Roman"/>
        </w:rPr>
        <w:t xml:space="preserve"> </w:t>
      </w:r>
    </w:p>
    <w:p w14:paraId="7AB2CD26" w14:textId="77777777" w:rsidR="00105BCC" w:rsidRDefault="00105BCC" w:rsidP="00105BCC">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p>
    <w:p w14:paraId="38751F18" w14:textId="77777777" w:rsidR="00105BCC" w:rsidRPr="00536624" w:rsidRDefault="00105BCC" w:rsidP="00105BCC">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0036B1F7" w14:textId="77777777" w:rsidR="00105BCC" w:rsidRPr="00536624" w:rsidRDefault="00105BCC" w:rsidP="00105BCC">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4D5606D4" w14:textId="77777777" w:rsidR="00105BCC" w:rsidRDefault="00105BCC" w:rsidP="00105BCC">
      <w:pPr>
        <w:pBdr>
          <w:top w:val="nil"/>
          <w:left w:val="nil"/>
          <w:bottom w:val="nil"/>
          <w:right w:val="nil"/>
          <w:between w:val="nil"/>
        </w:pBdr>
        <w:tabs>
          <w:tab w:val="left" w:pos="851"/>
        </w:tabs>
        <w:spacing w:after="0" w:line="240" w:lineRule="auto"/>
        <w:ind w:right="-1" w:firstLine="567"/>
        <w:jc w:val="both"/>
      </w:pPr>
      <w:r>
        <w:t xml:space="preserve">Apžvelgiamoje byloje pareiškėjas yra </w:t>
      </w:r>
      <w:r w:rsidRPr="008A4194">
        <w:t>Rusijos pilie</w:t>
      </w:r>
      <w:r>
        <w:t xml:space="preserve">tis, kuris </w:t>
      </w:r>
      <w:r w:rsidRPr="008A4194">
        <w:t xml:space="preserve">nuo 2006 metų gyvena Čekijoje su savo žmona, Armėnijos piliete, ir keturiais vaikais, kurie taip pat yra Rusijos piliečiai. 2009 m. jam buvo išduotas ilgalaikis leidimas gyventi </w:t>
      </w:r>
      <w:r>
        <w:t xml:space="preserve">Čekijoje </w:t>
      </w:r>
      <w:r w:rsidRPr="008A4194">
        <w:t xml:space="preserve">verslo tikslais, galiojantis iki 2011 m. rugpjūčio mėn. Prieš pasibaigiant leidimo galiojimui pareiškėjas pateikė prašymą jį pratęsti. 2014 m. jis taip pat pateikė prašymą dėl naujo ilgalaikio leidimo gyventi šeimos tikslais. Pirmasis prašymas buvo atmestas remiantis tuo, kad pareiškėjo buvimas šalyje neatitinka Čekijos interesų, o antrasis prašymas – dėl pagrįstos rizikos, kad jis gali rimtai sutrikdyti viešąją tvarką. Priimdama šiuos sprendimus, </w:t>
      </w:r>
      <w:r>
        <w:t xml:space="preserve">Čekijos kompetentinga institucija </w:t>
      </w:r>
      <w:r w:rsidRPr="008A4194">
        <w:t>rėmėsi įslaptinta informacija</w:t>
      </w:r>
      <w:r>
        <w:t>; su dalimi tokios informacijos</w:t>
      </w:r>
      <w:r w:rsidRPr="008A4194">
        <w:t xml:space="preserve"> pareiškėjo atstov</w:t>
      </w:r>
      <w:r>
        <w:t xml:space="preserve">ui buvo leista </w:t>
      </w:r>
      <w:r w:rsidRPr="008A4194">
        <w:t xml:space="preserve">susipažinti. Pareiškėjas nesėkmingai ginčijo sprendimus </w:t>
      </w:r>
      <w:r>
        <w:t xml:space="preserve">atmesti jo prašymus </w:t>
      </w:r>
      <w:r w:rsidRPr="008A4194">
        <w:t xml:space="preserve">nacionaliniuose teismuose. Panašiu pagrindu </w:t>
      </w:r>
      <w:r>
        <w:t xml:space="preserve">taip pat </w:t>
      </w:r>
      <w:r w:rsidRPr="008A4194">
        <w:t xml:space="preserve">buvo atmestas </w:t>
      </w:r>
      <w:r>
        <w:t>pareiškėjo</w:t>
      </w:r>
      <w:r w:rsidRPr="008A4194">
        <w:t xml:space="preserve"> prašymas dėl nuolatinio leidimo gyventi, pateiktas remiantis tuo, kad pareiškėjas gyveno Čekijoje bent penkerius metus. </w:t>
      </w:r>
      <w:r>
        <w:t>Be to, pareiškėjas yra pateikęs prašymą išduoti leidimą l</w:t>
      </w:r>
      <w:r w:rsidRPr="008A4194">
        <w:t>aikin</w:t>
      </w:r>
      <w:r>
        <w:t>ai</w:t>
      </w:r>
      <w:r w:rsidRPr="008A4194">
        <w:t xml:space="preserve"> gyventi, kaip ES piliečio šeimos nar</w:t>
      </w:r>
      <w:r>
        <w:t>ys</w:t>
      </w:r>
      <w:r w:rsidRPr="008A4194">
        <w:t xml:space="preserve">, </w:t>
      </w:r>
      <w:r>
        <w:t xml:space="preserve">nes </w:t>
      </w:r>
      <w:r w:rsidRPr="008A4194">
        <w:t>2020 m. jo pilnametė dukra įgijo Čekijos pilietybę.</w:t>
      </w:r>
      <w:r>
        <w:t xml:space="preserve"> </w:t>
      </w:r>
    </w:p>
    <w:p w14:paraId="7850D266" w14:textId="77777777" w:rsidR="00105BCC" w:rsidRDefault="00105BCC" w:rsidP="00105BCC">
      <w:pPr>
        <w:pBdr>
          <w:top w:val="nil"/>
          <w:left w:val="nil"/>
          <w:bottom w:val="nil"/>
          <w:right w:val="nil"/>
          <w:between w:val="nil"/>
        </w:pBdr>
        <w:tabs>
          <w:tab w:val="left" w:pos="851"/>
        </w:tabs>
        <w:spacing w:after="0" w:line="240" w:lineRule="auto"/>
        <w:ind w:right="-1" w:firstLine="567"/>
        <w:jc w:val="both"/>
      </w:pPr>
      <w:r w:rsidRPr="00B45845">
        <w:t xml:space="preserve">Remdamasis Konvencijos 8 straipsniu ir </w:t>
      </w:r>
      <w:r>
        <w:t xml:space="preserve">Konvencijos </w:t>
      </w:r>
      <w:r w:rsidRPr="00B45845">
        <w:t xml:space="preserve">7 </w:t>
      </w:r>
      <w:r>
        <w:t>p</w:t>
      </w:r>
      <w:r w:rsidRPr="00B45845">
        <w:t>rotokolo 1 straipsniu (procesinės garantijos dėl užsieniečių išsiuntimo), pareiškėjas skund</w:t>
      </w:r>
      <w:r>
        <w:t>ėsi</w:t>
      </w:r>
      <w:r w:rsidRPr="00B45845">
        <w:t xml:space="preserve">, kad jo prašymų atmetimas neigiamai paveikė jo teisę į šeimos gyvenimo gerbimą </w:t>
      </w:r>
      <w:r w:rsidRPr="00957974">
        <w:t>bei atitinkamą jo žmonos ir vaikų teisę, nes jų geriausi interesai nebuvo tinkamai įvertinti.</w:t>
      </w:r>
    </w:p>
    <w:p w14:paraId="4FA4840C" w14:textId="77777777" w:rsidR="00105BCC" w:rsidRDefault="00105BCC" w:rsidP="00105BCC">
      <w:pPr>
        <w:pBdr>
          <w:top w:val="nil"/>
          <w:left w:val="nil"/>
          <w:bottom w:val="nil"/>
          <w:right w:val="nil"/>
          <w:between w:val="nil"/>
        </w:pBdr>
        <w:tabs>
          <w:tab w:val="left" w:pos="851"/>
        </w:tabs>
        <w:spacing w:after="0" w:line="240" w:lineRule="auto"/>
        <w:ind w:right="-1" w:firstLine="567"/>
        <w:jc w:val="both"/>
      </w:pPr>
    </w:p>
    <w:p w14:paraId="756A96E6" w14:textId="0BC64FFF" w:rsidR="00105BCC" w:rsidRPr="00536624" w:rsidRDefault="00105BCC" w:rsidP="00105BCC">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152BEDE4" w14:textId="77777777" w:rsidR="00105BCC" w:rsidRPr="00536624" w:rsidRDefault="00105BCC" w:rsidP="00105BCC">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515212E0" w14:textId="6028AB7E" w:rsidR="00105BCC" w:rsidRDefault="00105BCC" w:rsidP="00105BCC">
      <w:pPr>
        <w:spacing w:after="0" w:line="240" w:lineRule="auto"/>
        <w:ind w:firstLine="567"/>
        <w:jc w:val="both"/>
      </w:pPr>
      <w:r w:rsidRPr="00C14D19">
        <w:t>Kadangi nacionalin</w:t>
      </w:r>
      <w:r>
        <w:t xml:space="preserve">ėse institucijose vykę </w:t>
      </w:r>
      <w:r w:rsidRPr="00C14D19">
        <w:t>proces</w:t>
      </w:r>
      <w:r>
        <w:t>ai buvo susiję tik su klausimu</w:t>
      </w:r>
      <w:r w:rsidRPr="00C14D19">
        <w:t xml:space="preserve">, ar pareiškėjas turėjo teisę į pasibaigusio leidimo gyventi pratęsimą arba į naujo leidimo išdavimą kitais pagrindais, ir kadangi </w:t>
      </w:r>
      <w:r>
        <w:t xml:space="preserve">pareiškėjo atžvilgiu </w:t>
      </w:r>
      <w:r w:rsidRPr="00C14D19">
        <w:t>nebuvo priimtas sprendimas dėl išsiuntimo ar galiojan</w:t>
      </w:r>
      <w:r>
        <w:t>tis</w:t>
      </w:r>
      <w:r w:rsidRPr="00C14D19">
        <w:t xml:space="preserve"> leidim</w:t>
      </w:r>
      <w:r>
        <w:t>as</w:t>
      </w:r>
      <w:r w:rsidRPr="00C14D19">
        <w:t xml:space="preserve"> gyventi</w:t>
      </w:r>
      <w:r>
        <w:t xml:space="preserve"> nebuvo</w:t>
      </w:r>
      <w:r w:rsidRPr="00C14D19">
        <w:t xml:space="preserve"> panaikin</w:t>
      </w:r>
      <w:r>
        <w:t>tas</w:t>
      </w:r>
      <w:r w:rsidRPr="00C14D19">
        <w:t xml:space="preserve"> ar atšauk</w:t>
      </w:r>
      <w:r>
        <w:t xml:space="preserve">tas dėl </w:t>
      </w:r>
      <w:r w:rsidRPr="00C14D19">
        <w:t xml:space="preserve">teistumo, </w:t>
      </w:r>
      <w:r>
        <w:t xml:space="preserve">EŽTT laikėsi pozicijos, kad jo </w:t>
      </w:r>
      <w:r w:rsidRPr="00C14D19">
        <w:t xml:space="preserve">praktikoje suformuluoti kriterijai, </w:t>
      </w:r>
      <w:r w:rsidRPr="00033ED0">
        <w:t>skirti tokių priemonių atitikties Konvencijos 8 straipsniui vertinimui</w:t>
      </w:r>
      <w:r w:rsidRPr="00C14D19">
        <w:t>, negalėjo būti automatiškai taikomi pareiškėjo situacijai</w:t>
      </w:r>
      <w:r>
        <w:t xml:space="preserve">. Taigi, Teismas </w:t>
      </w:r>
      <w:r w:rsidRPr="00183187">
        <w:t>nagrinė</w:t>
      </w:r>
      <w:r>
        <w:t>jo</w:t>
      </w:r>
      <w:r w:rsidRPr="00183187">
        <w:t xml:space="preserve">, </w:t>
      </w:r>
      <w:r w:rsidRPr="005D7351">
        <w:t>ar pareiškėjo procesin</w:t>
      </w:r>
      <w:r>
        <w:t>ių</w:t>
      </w:r>
      <w:r w:rsidRPr="005D7351">
        <w:t xml:space="preserve"> teis</w:t>
      </w:r>
      <w:r>
        <w:t>ių</w:t>
      </w:r>
      <w:r w:rsidRPr="005D7351">
        <w:t xml:space="preserve"> apribo</w:t>
      </w:r>
      <w:r>
        <w:t xml:space="preserve">jimas buvo kompensuotas </w:t>
      </w:r>
      <w:r w:rsidRPr="005D7351">
        <w:t>tinkam</w:t>
      </w:r>
      <w:r>
        <w:t>omis</w:t>
      </w:r>
      <w:r w:rsidRPr="005D7351">
        <w:t xml:space="preserve"> apsaugos priemonėmis, </w:t>
      </w:r>
      <w:r>
        <w:t>taip pat,</w:t>
      </w:r>
      <w:r w:rsidRPr="005D7351">
        <w:t xml:space="preserve"> ar pareiškėjo šeiminiai ryšiai Čekijoje buvo tinkamai įvertinti</w:t>
      </w:r>
      <w:r w:rsidRPr="00183187">
        <w:t>.</w:t>
      </w:r>
    </w:p>
    <w:p w14:paraId="54AB0D6A" w14:textId="77777777" w:rsidR="00105BCC" w:rsidRDefault="00105BCC" w:rsidP="00105BCC">
      <w:pPr>
        <w:spacing w:after="0" w:line="240" w:lineRule="auto"/>
        <w:ind w:firstLine="567"/>
        <w:jc w:val="both"/>
      </w:pPr>
      <w:r>
        <w:t>Konstatavęs, kad administracinėje procedūroje pareiškėjo procesinės teisės buvo reikšmingai apribotos, Teismas atkreipė dėmesį, jog gi</w:t>
      </w:r>
      <w:r w:rsidRPr="007D340F">
        <w:t>nč</w:t>
      </w:r>
      <w:r>
        <w:t>ytų</w:t>
      </w:r>
      <w:r w:rsidRPr="007D340F">
        <w:t xml:space="preserve"> sprendim</w:t>
      </w:r>
      <w:r>
        <w:t>ų teisėtumą ir pagrįstumą patikrino nacionaliniai teismai</w:t>
      </w:r>
      <w:r w:rsidRPr="007D340F">
        <w:t xml:space="preserve">, įskaitant ir </w:t>
      </w:r>
      <w:r>
        <w:t>Vyriausiąjį</w:t>
      </w:r>
      <w:r w:rsidRPr="007D340F">
        <w:t xml:space="preserve"> administracinį teismą. Šie teismai buvo nepriklausomi, kaip </w:t>
      </w:r>
      <w:r>
        <w:t>reikalaujama pagal išplėtotą</w:t>
      </w:r>
      <w:r w:rsidRPr="007D340F">
        <w:t xml:space="preserve"> </w:t>
      </w:r>
      <w:r>
        <w:t>EŽTT</w:t>
      </w:r>
      <w:r w:rsidRPr="007D340F">
        <w:t xml:space="preserve"> praktik</w:t>
      </w:r>
      <w:r>
        <w:t>ą</w:t>
      </w:r>
      <w:r w:rsidRPr="007D340F">
        <w:t xml:space="preserve">, ir turėjo prieigą prie įslaptintos informacijos, kuria buvo pagrįsti </w:t>
      </w:r>
      <w:r>
        <w:t>ginčyti</w:t>
      </w:r>
      <w:r w:rsidRPr="007D340F">
        <w:t xml:space="preserve"> sprendimai. </w:t>
      </w:r>
      <w:r>
        <w:t>Teismo vertinimu, t</w:t>
      </w:r>
      <w:r w:rsidRPr="007D340F">
        <w:t xml:space="preserve">ai buvo reikšmingos </w:t>
      </w:r>
      <w:r>
        <w:t xml:space="preserve">pareiškėjo teisių </w:t>
      </w:r>
      <w:r w:rsidRPr="007D340F">
        <w:t>apsaugos priemonės.</w:t>
      </w:r>
      <w:r w:rsidRPr="000978B7">
        <w:t xml:space="preserve"> </w:t>
      </w:r>
      <w:r>
        <w:t xml:space="preserve">Šiame kontekste EŽTT taip pat atkreipė dėmesį, kad nacionaliniai </w:t>
      </w:r>
      <w:r w:rsidRPr="000978B7">
        <w:t xml:space="preserve">teismai konstatavo </w:t>
      </w:r>
      <w:r>
        <w:t xml:space="preserve">tam tikros </w:t>
      </w:r>
      <w:r w:rsidRPr="000978B7">
        <w:t>įslaptint</w:t>
      </w:r>
      <w:r>
        <w:t>os</w:t>
      </w:r>
      <w:r w:rsidRPr="000978B7">
        <w:t xml:space="preserve"> informacij</w:t>
      </w:r>
      <w:r>
        <w:t>os</w:t>
      </w:r>
      <w:r w:rsidRPr="000978B7">
        <w:t xml:space="preserve"> nea</w:t>
      </w:r>
      <w:r>
        <w:t>titikimą</w:t>
      </w:r>
      <w:r w:rsidRPr="000978B7">
        <w:t xml:space="preserve"> nacionalinė</w:t>
      </w:r>
      <w:r>
        <w:t>je</w:t>
      </w:r>
      <w:r w:rsidRPr="000978B7">
        <w:t xml:space="preserve"> praktiko</w:t>
      </w:r>
      <w:r>
        <w:t>je</w:t>
      </w:r>
      <w:r w:rsidRPr="000978B7">
        <w:t xml:space="preserve"> nustatyt</w:t>
      </w:r>
      <w:r>
        <w:t>iems</w:t>
      </w:r>
      <w:r w:rsidRPr="000978B7">
        <w:t xml:space="preserve"> kokybini</w:t>
      </w:r>
      <w:r>
        <w:t>ams</w:t>
      </w:r>
      <w:r w:rsidRPr="000978B7">
        <w:t xml:space="preserve"> reikalavim</w:t>
      </w:r>
      <w:r>
        <w:t>ams</w:t>
      </w:r>
      <w:r w:rsidRPr="000978B7">
        <w:t xml:space="preserve"> ir prašė papildom</w:t>
      </w:r>
      <w:r>
        <w:t>os informacijos</w:t>
      </w:r>
      <w:r w:rsidRPr="000978B7">
        <w:t xml:space="preserve">, kad galėtų </w:t>
      </w:r>
      <w:r>
        <w:t xml:space="preserve">pagrįstai spręsti, ar </w:t>
      </w:r>
      <w:r w:rsidRPr="000978B7">
        <w:t>pareiškėjas tikrai kelia pavojų nacionaliniam saugumui ir viešajai tvarkai.</w:t>
      </w:r>
      <w:r>
        <w:t xml:space="preserve"> Atsižvelgta ir į tai, kad Vyriausiasis administracinis teismas </w:t>
      </w:r>
      <w:r w:rsidRPr="00301A0A">
        <w:t xml:space="preserve">nustatė, </w:t>
      </w:r>
      <w:r>
        <w:t>jog bylos</w:t>
      </w:r>
      <w:r w:rsidRPr="00301A0A">
        <w:t xml:space="preserve"> dokumentai sudarė įtikinamą vaizdą apie bendras ir ilgalaikes pareiškėjo gyvenimo būdo ypatybes bei jo ryšius su nusikalstama bendruomene Čekijoje</w:t>
      </w:r>
      <w:r>
        <w:t xml:space="preserve">; svarbu, kad tokios </w:t>
      </w:r>
      <w:r w:rsidRPr="00301A0A">
        <w:t>aplinkybės nebuvo susijusios su atskirais incidentais, o sudarė per ilgesnį laikotarpį</w:t>
      </w:r>
      <w:r>
        <w:t xml:space="preserve"> </w:t>
      </w:r>
      <w:r w:rsidRPr="00301A0A">
        <w:t>vykusi</w:t>
      </w:r>
      <w:r>
        <w:t>ų faktų</w:t>
      </w:r>
      <w:r w:rsidRPr="00301A0A">
        <w:t xml:space="preserve"> mozaiką</w:t>
      </w:r>
      <w:r>
        <w:t xml:space="preserve">. </w:t>
      </w:r>
      <w:r w:rsidRPr="001B75A9">
        <w:t>Todėl</w:t>
      </w:r>
      <w:r>
        <w:t>, EŽTT požiūriu,</w:t>
      </w:r>
      <w:r w:rsidRPr="001B75A9">
        <w:t xml:space="preserve"> pareiškėjui buvo suteikta bent jau </w:t>
      </w:r>
      <w:r>
        <w:t>apibendrinta</w:t>
      </w:r>
      <w:r w:rsidRPr="001B75A9">
        <w:t xml:space="preserve"> informacija apie</w:t>
      </w:r>
      <w:r>
        <w:t xml:space="preserve"> duomenis, nulėmusius neigiamą jo vertinimą</w:t>
      </w:r>
      <w:r w:rsidRPr="001B75A9">
        <w:t>.</w:t>
      </w:r>
      <w:r>
        <w:t xml:space="preserve"> </w:t>
      </w:r>
      <w:r w:rsidRPr="004F4A25">
        <w:t>Atsižvelg</w:t>
      </w:r>
      <w:r>
        <w:t>ęs</w:t>
      </w:r>
      <w:r w:rsidRPr="004F4A25">
        <w:t xml:space="preserve"> į šiuos aspektus, </w:t>
      </w:r>
      <w:r w:rsidRPr="00203F20">
        <w:rPr>
          <w:u w:val="single"/>
        </w:rPr>
        <w:t>EŽTT apibendrino, kad pareiškėjo byla buvo nagrinėjama nepriklausomuose teismuose, kurie buvo kompetentingi veiksmingai ištirti administracinių institucijų sprendimų pagrįstumą, turėjo prieigą prie įslaptintų dokumentų ir vykdė tokių dokumentų autentiškumo, pateiktos įslaptintos informacijos patikimumo ir tikslumo kruopščią patikrą</w:t>
      </w:r>
      <w:r>
        <w:t>.</w:t>
      </w:r>
    </w:p>
    <w:p w14:paraId="412E86E1" w14:textId="77777777" w:rsidR="00105BCC" w:rsidRDefault="00105BCC" w:rsidP="00105BCC">
      <w:pPr>
        <w:spacing w:after="0" w:line="240" w:lineRule="auto"/>
        <w:ind w:firstLine="567"/>
        <w:jc w:val="both"/>
      </w:pPr>
      <w:r w:rsidRPr="00210751">
        <w:t xml:space="preserve">Tiesa, EŽTT neignoravo fakto, kad </w:t>
      </w:r>
      <w:r w:rsidRPr="00227A10">
        <w:rPr>
          <w:u w:val="single"/>
        </w:rPr>
        <w:t xml:space="preserve">pareiškėjui nebuvo leista susipažinti su įslaptinta informacija byloje ir kad jo atstovui buvo prieinama tik ta informacijos dalis, kuri apibendrintai apibūdino pareiškėjo elgesį. Vis </w:t>
      </w:r>
      <w:r w:rsidRPr="00227A10">
        <w:rPr>
          <w:u w:val="single"/>
        </w:rPr>
        <w:lastRenderedPageBreak/>
        <w:t>dėlto, Teismo požiūriu, tai suprantama, atsižvelgiant į galimas pasekmes nacionaliniam saugumui ir riziką atskleisti policijos operatyvinės veiklos niuansus.</w:t>
      </w:r>
      <w:r w:rsidRPr="00210751">
        <w:t xml:space="preserve"> EŽTT šiame kontekste akcentavo, kad pareiškėjas viso proceso metu buvo atstovaujamas teisininko ir jo byla buvo nagrinėjama ginčo tvarka. Atitinkamai, teisminė procedūra, EŽTT vertinimu, suteikė pareiškėjui pakankamas garantijas, leidžiančias </w:t>
      </w:r>
      <w:r>
        <w:t>kompensuoti</w:t>
      </w:r>
      <w:r w:rsidRPr="00210751">
        <w:t xml:space="preserve"> jo procesinių teisių apribojimus ir neprarasti galimybės veiksmingai ginčyti vykdomosios valdžios teiginius dėl pareiškėjo keliamo pavojaus nacionaliniam saugumui ir viešajai tvarkai</w:t>
      </w:r>
      <w:r>
        <w:t xml:space="preserve">. </w:t>
      </w:r>
    </w:p>
    <w:p w14:paraId="30F94ABE" w14:textId="77777777" w:rsidR="00105BCC" w:rsidRDefault="00105BCC" w:rsidP="00105BCC">
      <w:pPr>
        <w:spacing w:after="0" w:line="240" w:lineRule="auto"/>
        <w:ind w:firstLine="567"/>
        <w:jc w:val="both"/>
      </w:pPr>
      <w:r w:rsidRPr="00F375FF">
        <w:t>Nagrinėdamas pareiškėjo skundą dėl Konvencijos 8 straipsnio pažeidimo, EŽTT pripažino, kad pareiškėjo šeimą tikrai paveiktų jo išvykimas iš Čekijos. Vis dėlto buvo pritarta nacionalinių teismų išvadai, kad pareiškėjo išvykimo poveikis jo vaikams būtų labiau netiesioginis. Šiame kontekste pastebėta, jog pareiškėjas nepateikė jokios informacijos apie tai, kokį poveikį jo išvykimas turėtų vaikams, ir neteigė užimantis pagrindinę rolę šeimoje, taip pat, kad jo buvimas Čekijoje yra svarbus vaikų gerovei. Pareiškėjas nepateikė argumentų, kodėl jo šeima negalėtų jo aplankyti Rusijoje, arba kodėl jie negalėtų palaikyti ryšio moderniomis komunikacijos priemonėmis. Papildomai pastebėta, kad pareiškėjas bylos nagrinėjimo EŽTT metu yra pateikęs prašymą išduoti laikiną leidimą gyventi</w:t>
      </w:r>
      <w:r>
        <w:t>,</w:t>
      </w:r>
      <w:r w:rsidRPr="00F375FF">
        <w:t xml:space="preserve"> kaip ES piliečio šeimos narys. Šiuo aspektu Teismas atkreipė dėmesį, kad nesėkmės atveju, be kita ko, jei bus priimtas sprendimas, įpareigojantis išvykti, pareiškėjas galės jį apskųsti. Nesant priimto sprendimo dėl išsiuntimo, pareiškėjas taip pat galės kreiptis dėl vizos, kad aplankytų savo šeimą Čekijoje. Atsižvelgęs į ilgą laikotarpį, praėjusį nuo ginčijamų nacionalinių procesų pradžios, ir į vėlesnius sprendimus, kuriais pareiškėjui buvo atsisakyta išduoti leidimus gyventi, taip pat akcentuodamas, kad dar nebuvo priimtas joks formaliai įpareigojantis sprendimas išvykti, Teismas darė išvadą, jog pareiškėjas galėjo mėgautis šeimos gyvenimu su savo vaikais didžiąją jų vaikystės dalį. Be to, Teismas atsižvelgė ir į tai, kad pareiškėjas, regis, ir toliau lieka Čekijoje, nes jo prašymas dėl laikino leidimo gyventi kaip ES piliečio šeimos nariui vis dar buvo nagrinėjamas, o tai </w:t>
      </w:r>
      <w:r w:rsidRPr="00D70EB8">
        <w:rPr>
          <w:i/>
          <w:iCs/>
        </w:rPr>
        <w:t>de facto</w:t>
      </w:r>
      <w:r w:rsidRPr="00F375FF">
        <w:t xml:space="preserve"> draudžia kompetentingoms institucijoms jį išsiųsti. Atitinkamai Teismas laikėsi pozicijos, kad nacionalinės institucijos pakankamai atsižvelgė į pareiškėjo šeimos ryšius ir, remdamosi EŽTT praktika, subalansavo reikšmingus interesus, neperžengdamos joms suteiktos diskrecijos ribų</w:t>
      </w:r>
      <w:r w:rsidRPr="00216C70">
        <w:t>.</w:t>
      </w:r>
    </w:p>
    <w:p w14:paraId="68E53140" w14:textId="77777777" w:rsidR="00105BCC" w:rsidRDefault="00105BCC" w:rsidP="00105BCC">
      <w:pPr>
        <w:spacing w:after="0" w:line="240" w:lineRule="auto"/>
        <w:ind w:right="-1" w:firstLine="567"/>
        <w:jc w:val="both"/>
        <w:rPr>
          <w:rFonts w:cstheme="minorHAnsi"/>
        </w:rPr>
      </w:pPr>
    </w:p>
    <w:p w14:paraId="66B52F2A" w14:textId="7890DFC3" w:rsidR="00105BCC" w:rsidRDefault="00105BCC" w:rsidP="00105BCC">
      <w:pPr>
        <w:spacing w:after="0" w:line="240" w:lineRule="auto"/>
        <w:ind w:right="-1" w:firstLine="567"/>
        <w:jc w:val="both"/>
        <w:rPr>
          <w:rFonts w:cstheme="minorHAnsi"/>
        </w:rPr>
      </w:pPr>
      <w:r w:rsidRPr="00536624">
        <w:rPr>
          <w:rFonts w:cstheme="minorHAnsi"/>
        </w:rPr>
        <w:t>Išvad</w:t>
      </w:r>
      <w:r>
        <w:rPr>
          <w:rFonts w:cstheme="minorHAnsi"/>
        </w:rPr>
        <w:t>a</w:t>
      </w:r>
      <w:r w:rsidRPr="00536624">
        <w:rPr>
          <w:rFonts w:cstheme="minorHAnsi"/>
        </w:rPr>
        <w:t xml:space="preserve">: </w:t>
      </w:r>
      <w:r>
        <w:rPr>
          <w:rFonts w:cstheme="minorHAnsi"/>
        </w:rPr>
        <w:t xml:space="preserve">nepažeistas Konvencijos 8 straipsnis (vienbalsiai). </w:t>
      </w:r>
    </w:p>
    <w:p w14:paraId="7241300E" w14:textId="77777777" w:rsidR="009E5C27" w:rsidRPr="00C170C3" w:rsidRDefault="009E5C27" w:rsidP="009E5C27">
      <w:pPr>
        <w:spacing w:after="0" w:line="240" w:lineRule="auto"/>
        <w:ind w:right="-1" w:firstLine="567"/>
        <w:rPr>
          <w:rFonts w:ascii="Calibri" w:eastAsia="Calibri" w:hAnsi="Calibri" w:cs="Calibri"/>
        </w:rPr>
      </w:pPr>
      <w:r w:rsidRPr="00026747">
        <w:rPr>
          <w:rFonts w:ascii="Calibri" w:eastAsia="Calibri" w:hAnsi="Calibri" w:cs="Calibri"/>
        </w:rPr>
        <w:t>Pateikta atskiroji nuomonė.</w:t>
      </w:r>
    </w:p>
    <w:p w14:paraId="4FDF5DC9" w14:textId="77777777" w:rsidR="00105BCC" w:rsidRPr="00305CD1" w:rsidRDefault="00105BCC" w:rsidP="00105BCC">
      <w:pPr>
        <w:spacing w:after="0" w:line="240" w:lineRule="auto"/>
        <w:ind w:right="-1" w:firstLine="567"/>
        <w:jc w:val="both"/>
        <w:rPr>
          <w:rStyle w:val="Hipersaitas"/>
          <w:rFonts w:cstheme="minorHAnsi"/>
        </w:rPr>
      </w:pPr>
      <w:r>
        <w:rPr>
          <w:rFonts w:cstheme="minorHAnsi"/>
          <w:color w:val="0000FF"/>
          <w:u w:val="single"/>
        </w:rPr>
        <w:fldChar w:fldCharType="begin"/>
      </w:r>
      <w:r>
        <w:rPr>
          <w:rFonts w:cstheme="minorHAnsi"/>
          <w:color w:val="0000FF"/>
          <w:u w:val="single"/>
        </w:rPr>
        <w:instrText>HYPERLINK "https://hudoc.echr.coe.int/" \l "{%22fulltext%22:[%2215117/21%22],%22documentcollectionid2%22:[%22GRANDCHAMBER%22,%22CHAMBER%22],%22itemid%22:[%22001-233686%22]}"</w:instrText>
      </w:r>
      <w:r>
        <w:rPr>
          <w:rFonts w:cstheme="minorHAnsi"/>
          <w:color w:val="0000FF"/>
          <w:u w:val="single"/>
        </w:rPr>
      </w:r>
      <w:r>
        <w:rPr>
          <w:rFonts w:cstheme="minorHAnsi"/>
          <w:color w:val="0000FF"/>
          <w:u w:val="single"/>
        </w:rPr>
        <w:fldChar w:fldCharType="separate"/>
      </w:r>
      <w:r w:rsidRPr="00305CD1">
        <w:rPr>
          <w:rStyle w:val="Hipersaitas"/>
          <w:rFonts w:cstheme="minorHAnsi"/>
        </w:rPr>
        <w:t>Prieiga internete</w:t>
      </w:r>
      <w:r>
        <w:rPr>
          <w:rStyle w:val="Hipersaitas"/>
          <w:rFonts w:cstheme="minorHAnsi"/>
        </w:rPr>
        <w:t xml:space="preserve"> </w:t>
      </w:r>
    </w:p>
    <w:p w14:paraId="3C62C0A4" w14:textId="5655EBBF" w:rsidR="00837CD5" w:rsidRDefault="00105BCC" w:rsidP="00105BCC">
      <w:pPr>
        <w:shd w:val="clear" w:color="auto" w:fill="FFFFFF"/>
        <w:spacing w:after="0" w:line="240" w:lineRule="auto"/>
        <w:ind w:right="-1" w:firstLine="567"/>
        <w:rPr>
          <w:rFonts w:cstheme="minorHAnsi"/>
          <w:color w:val="0000FF"/>
          <w:u w:val="single"/>
        </w:rPr>
      </w:pPr>
      <w:r>
        <w:rPr>
          <w:rFonts w:cstheme="minorHAnsi"/>
          <w:color w:val="0000FF"/>
          <w:u w:val="single"/>
        </w:rPr>
        <w:fldChar w:fldCharType="end"/>
      </w:r>
    </w:p>
    <w:p w14:paraId="429D11D1" w14:textId="77777777" w:rsidR="00F9761A" w:rsidRPr="00F9761A" w:rsidRDefault="00F9761A" w:rsidP="00F9761A">
      <w:pPr>
        <w:pStyle w:val="Antrat1"/>
        <w:spacing w:before="0"/>
        <w:ind w:right="-1"/>
        <w:rPr>
          <w:rFonts w:eastAsia="Times New Roman" w:cstheme="minorHAnsi"/>
          <w:szCs w:val="22"/>
        </w:rPr>
      </w:pPr>
      <w:bookmarkStart w:id="27" w:name="_Toc181709495"/>
      <w:r w:rsidRPr="00F9761A">
        <w:rPr>
          <w:rFonts w:eastAsia="Times New Roman" w:cstheme="minorHAnsi"/>
          <w:szCs w:val="22"/>
        </w:rPr>
        <w:t>MINTIES, SĄŽINĖS IR RELIGIJOS LAISVĖ (9 straipsnis)</w:t>
      </w:r>
      <w:bookmarkEnd w:id="27"/>
    </w:p>
    <w:p w14:paraId="1EC1564B" w14:textId="77777777" w:rsidR="00F9761A" w:rsidRDefault="00F9761A" w:rsidP="00F9761A">
      <w:pPr>
        <w:pStyle w:val="Betarp"/>
        <w:jc w:val="center"/>
        <w:rPr>
          <w:b/>
          <w:bCs/>
        </w:rPr>
      </w:pPr>
    </w:p>
    <w:p w14:paraId="7A184D24" w14:textId="77777777" w:rsidR="00F9761A" w:rsidRPr="00EC0AA7" w:rsidRDefault="00F9761A" w:rsidP="00F9761A">
      <w:pPr>
        <w:pStyle w:val="Betarp"/>
        <w:jc w:val="center"/>
        <w:rPr>
          <w:b/>
          <w:bCs/>
        </w:rPr>
      </w:pPr>
      <w:r w:rsidRPr="00EC0AA7">
        <w:rPr>
          <w:b/>
          <w:bCs/>
        </w:rPr>
        <w:t>Europos Žmogaus Teisių Teismo</w:t>
      </w:r>
      <w:r>
        <w:rPr>
          <w:b/>
          <w:bCs/>
        </w:rPr>
        <w:t xml:space="preserve"> </w:t>
      </w:r>
      <w:r w:rsidRPr="00EC0AA7">
        <w:rPr>
          <w:b/>
          <w:bCs/>
        </w:rPr>
        <w:t>202</w:t>
      </w:r>
      <w:r>
        <w:rPr>
          <w:b/>
          <w:bCs/>
        </w:rPr>
        <w:t>4</w:t>
      </w:r>
      <w:r w:rsidRPr="00EC0AA7">
        <w:rPr>
          <w:b/>
          <w:bCs/>
        </w:rPr>
        <w:t xml:space="preserve"> m. </w:t>
      </w:r>
      <w:r>
        <w:rPr>
          <w:b/>
          <w:bCs/>
        </w:rPr>
        <w:t xml:space="preserve">kovo 12 </w:t>
      </w:r>
      <w:r w:rsidRPr="00EC0AA7">
        <w:rPr>
          <w:b/>
          <w:bCs/>
        </w:rPr>
        <w:t>d. sprendimas byloje</w:t>
      </w:r>
    </w:p>
    <w:p w14:paraId="11544C60" w14:textId="77777777" w:rsidR="00F9761A" w:rsidRPr="00F9761A" w:rsidRDefault="00F9761A" w:rsidP="00F9761A">
      <w:pPr>
        <w:keepNext/>
        <w:keepLines/>
        <w:spacing w:after="0" w:line="240" w:lineRule="auto"/>
        <w:jc w:val="center"/>
        <w:outlineLvl w:val="1"/>
        <w:rPr>
          <w:rFonts w:ascii="Calibri" w:eastAsia="Times New Roman" w:hAnsi="Calibri" w:cs="Times New Roman"/>
          <w:b/>
          <w:bCs/>
          <w:i/>
          <w:iCs/>
          <w:color w:val="2E74B5"/>
        </w:rPr>
      </w:pPr>
      <w:bookmarkStart w:id="28" w:name="_Toc181709496"/>
      <w:r w:rsidRPr="00F9761A">
        <w:rPr>
          <w:rFonts w:ascii="Calibri" w:eastAsia="Times New Roman" w:hAnsi="Calibri" w:cs="Times New Roman"/>
          <w:b/>
          <w:bCs/>
          <w:i/>
          <w:iCs/>
          <w:color w:val="2E74B5"/>
        </w:rPr>
        <w:t>Kanatli prieš Turkiją</w:t>
      </w:r>
      <w:bookmarkEnd w:id="28"/>
    </w:p>
    <w:p w14:paraId="6A02C0BC" w14:textId="51F78E0D" w:rsidR="00F9761A" w:rsidRPr="00EC0AA7" w:rsidRDefault="00F9761A" w:rsidP="00F9761A">
      <w:pPr>
        <w:pStyle w:val="Betarp"/>
        <w:jc w:val="center"/>
        <w:rPr>
          <w:b/>
          <w:bCs/>
        </w:rPr>
      </w:pPr>
      <w:r w:rsidRPr="00EC0AA7">
        <w:rPr>
          <w:b/>
          <w:bCs/>
        </w:rPr>
        <w:t xml:space="preserve">(pareiškimo Nr. </w:t>
      </w:r>
      <w:r w:rsidRPr="00C4614B">
        <w:rPr>
          <w:b/>
          <w:bCs/>
        </w:rPr>
        <w:t>18382/15</w:t>
      </w:r>
      <w:r w:rsidRPr="00EB6EF8">
        <w:rPr>
          <w:b/>
          <w:bCs/>
        </w:rPr>
        <w:t xml:space="preserve">, svarbos lygis – </w:t>
      </w:r>
      <w:r>
        <w:rPr>
          <w:b/>
          <w:bCs/>
        </w:rPr>
        <w:t>2</w:t>
      </w:r>
      <w:r w:rsidRPr="00EB6EF8">
        <w:rPr>
          <w:b/>
          <w:bCs/>
        </w:rPr>
        <w:t>)</w:t>
      </w:r>
    </w:p>
    <w:p w14:paraId="06A8DF8A" w14:textId="77777777" w:rsidR="00F9761A" w:rsidRDefault="00F9761A" w:rsidP="00F9761A">
      <w:pPr>
        <w:pStyle w:val="Betarp"/>
        <w:jc w:val="center"/>
        <w:rPr>
          <w:b/>
          <w:bCs/>
        </w:rPr>
      </w:pPr>
    </w:p>
    <w:p w14:paraId="1794728C" w14:textId="2F713A30" w:rsidR="00F9761A" w:rsidRPr="00F9761A" w:rsidRDefault="00F9761A" w:rsidP="00F9761A">
      <w:pPr>
        <w:pStyle w:val="Antrat3"/>
        <w:spacing w:before="0" w:line="240" w:lineRule="auto"/>
        <w:ind w:right="-1" w:firstLine="567"/>
        <w:rPr>
          <w:rFonts w:ascii="Calibri" w:eastAsia="Times New Roman" w:hAnsi="Calibri" w:cs="Times New Roman"/>
        </w:rPr>
      </w:pPr>
      <w:bookmarkStart w:id="29" w:name="_Toc181709497"/>
      <w:r w:rsidRPr="00F9761A">
        <w:rPr>
          <w:rFonts w:ascii="Calibri" w:eastAsia="Times New Roman" w:hAnsi="Calibri" w:cs="Times New Roman"/>
        </w:rPr>
        <w:t xml:space="preserve">Dėl pareigos nacionalinėje teisėje numatyti galimybę asmenims atlikti alternatyviąją karo tarnybą dėl </w:t>
      </w:r>
      <w:bookmarkEnd w:id="29"/>
      <w:r w:rsidR="00227A10">
        <w:rPr>
          <w:rFonts w:ascii="Calibri" w:eastAsia="Times New Roman" w:hAnsi="Calibri" w:cs="Times New Roman"/>
        </w:rPr>
        <w:t>įsitikinimų</w:t>
      </w:r>
      <w:r w:rsidRPr="00F9761A">
        <w:rPr>
          <w:rFonts w:ascii="Calibri" w:eastAsia="Times New Roman" w:hAnsi="Calibri" w:cs="Times New Roman"/>
        </w:rPr>
        <w:t xml:space="preserve"> </w:t>
      </w:r>
    </w:p>
    <w:p w14:paraId="34FB2E4A" w14:textId="77777777" w:rsidR="00F9761A" w:rsidRDefault="00F9761A" w:rsidP="00F9761A">
      <w:pPr>
        <w:pStyle w:val="Betarp"/>
        <w:ind w:firstLine="567"/>
        <w:jc w:val="both"/>
      </w:pPr>
    </w:p>
    <w:p w14:paraId="232BA706" w14:textId="77777777" w:rsidR="00F9761A" w:rsidRPr="00B35DC4" w:rsidRDefault="00F9761A" w:rsidP="00F9761A">
      <w:pPr>
        <w:pStyle w:val="Betarp"/>
        <w:jc w:val="center"/>
        <w:rPr>
          <w:b/>
          <w:bCs/>
        </w:rPr>
      </w:pPr>
      <w:r w:rsidRPr="00B35DC4">
        <w:rPr>
          <w:b/>
          <w:bCs/>
        </w:rPr>
        <w:t>Faktinės aplinkybės</w:t>
      </w:r>
    </w:p>
    <w:p w14:paraId="5CB3585C" w14:textId="77777777" w:rsidR="00F9761A" w:rsidRDefault="00F9761A" w:rsidP="00F9761A">
      <w:pPr>
        <w:pStyle w:val="Betarp"/>
        <w:jc w:val="center"/>
      </w:pPr>
    </w:p>
    <w:p w14:paraId="6751B0B0" w14:textId="77777777" w:rsidR="00F9761A" w:rsidRDefault="00F9761A" w:rsidP="00F9761A">
      <w:pPr>
        <w:pStyle w:val="Betarp"/>
        <w:ind w:firstLine="567"/>
        <w:jc w:val="both"/>
      </w:pPr>
      <w:r>
        <w:t xml:space="preserve">Pareiškėjas gimė ir gyvena vadinamojoje „Šiaurės Kipro Turkų Respublikoje“ (toliau – ŠKTR). Pagal ŠKTR Karo tarnybos įstatymą karo tarnybą, kurios amžius prasideda nuo 19 metų amžiaus, sudaro trys etapai (verbavimo, aktyviosios tarnybos ir atsargos) ir jos trukmė – iki 30 metų. Šiame įstatyme numatyta, kad laikotarpis nuo aktyviosios karo tarnybos pabaigos iki viso karo tarnybos laikotarpio pabaigos yra „atsargos etapas“, kuriuo, prireikus, turi būti atlikta iki 30 dienų tarnybos per metus. </w:t>
      </w:r>
      <w:r w:rsidRPr="00830713">
        <w:t xml:space="preserve">ŠKTR </w:t>
      </w:r>
      <w:r>
        <w:t xml:space="preserve">Mobilizacijos įstatyme nustatyta, kad asmuo, kuris, būdamas pašauktas į atsargos tarnybą taikos metu, nepasirodo tarnyboje, privalo sumokėti baudą. </w:t>
      </w:r>
    </w:p>
    <w:p w14:paraId="43F44606" w14:textId="6FCF6B44" w:rsidR="00F9761A" w:rsidRDefault="00F9761A" w:rsidP="00F9761A">
      <w:pPr>
        <w:pStyle w:val="Betarp"/>
        <w:ind w:firstLine="567"/>
        <w:jc w:val="both"/>
      </w:pPr>
      <w:r>
        <w:t xml:space="preserve">Pareiškėjas 2005 metais atliko vienų metų aktyviąją karo tarnybą. Kiekvienais metais po to jis buvo šaukiamas vienai dienai tarnybos kaip atsargos karys, šią pareigą jis atliko 2006–2008 metais. 2008 metais pareiškėjas tapo </w:t>
      </w:r>
      <w:r w:rsidRPr="00B61089">
        <w:t xml:space="preserve">Europos </w:t>
      </w:r>
      <w:r>
        <w:t>s</w:t>
      </w:r>
      <w:r w:rsidRPr="00B61089">
        <w:t xml:space="preserve">ąžinės </w:t>
      </w:r>
      <w:r>
        <w:t>p</w:t>
      </w:r>
      <w:r w:rsidRPr="00B61089">
        <w:t xml:space="preserve">rieštaraujančiųjų </w:t>
      </w:r>
      <w:r>
        <w:t>b</w:t>
      </w:r>
      <w:r w:rsidRPr="00B61089">
        <w:t>iur</w:t>
      </w:r>
      <w:r>
        <w:t>o (angl.</w:t>
      </w:r>
      <w:r w:rsidRPr="003A68BE">
        <w:t xml:space="preserve"> </w:t>
      </w:r>
      <w:r w:rsidRPr="003A68BE">
        <w:rPr>
          <w:i/>
          <w:iCs/>
        </w:rPr>
        <w:t>European Bureau for Conscientious Objection</w:t>
      </w:r>
      <w:r>
        <w:t xml:space="preserve"> (toliau – EBCO) Kipro atstovu. 2009 metais jis buvo išrinktas į EBCO valdybą ir atsisakė atlikti karo tarnybą kaip atsargos karys. 2011 metais prieš pareiškėją pradėtas baudžiamasis procesas, kuriame pareiškėjas nurodė, kad sąmoningai atsisako atlikti karinę tarnybą kaip atsargos karys dėl savo pacifistinių ir antimilitaristinių </w:t>
      </w:r>
      <w:r>
        <w:lastRenderedPageBreak/>
        <w:t xml:space="preserve">įsitikinimų, taip pat kad civilinės tarnybos trūkumas prieštarauja Konvencijai. Pareiškėjas taip pat prašė peržiūrėti atitinkamų Mobilizacijos įstatymo nuostatų konstitucingumą. </w:t>
      </w:r>
      <w:r w:rsidRPr="00C55C46">
        <w:t xml:space="preserve">Aukščiausiasis Karo Administracinis Teismas nustatė, kad atitinkamos nuostatos yra konstitucingos ir paaiškino, kad </w:t>
      </w:r>
      <w:r w:rsidRPr="00B61089">
        <w:t>ŠKTR</w:t>
      </w:r>
      <w:r>
        <w:t xml:space="preserve"> </w:t>
      </w:r>
      <w:r w:rsidRPr="00C55C46">
        <w:t>Kar</w:t>
      </w:r>
      <w:r>
        <w:t>o t</w:t>
      </w:r>
      <w:r w:rsidRPr="00C55C46">
        <w:t xml:space="preserve">arnybos </w:t>
      </w:r>
      <w:r>
        <w:t>į</w:t>
      </w:r>
      <w:r w:rsidRPr="00C55C46">
        <w:t xml:space="preserve">statymas nenumato galimybės </w:t>
      </w:r>
      <w:r>
        <w:t>dėl sąžinės prieštaravimų</w:t>
      </w:r>
      <w:r w:rsidRPr="00C55C46">
        <w:t xml:space="preserve"> atlikti alternatyvią</w:t>
      </w:r>
      <w:r>
        <w:t>ją karo</w:t>
      </w:r>
      <w:r w:rsidRPr="00C55C46">
        <w:t xml:space="preserve"> tarnybą.</w:t>
      </w:r>
      <w:r>
        <w:t xml:space="preserve"> Pareiškėjas dėl vengimo atlikti karo tarnybą nubaustas bauda, kurią</w:t>
      </w:r>
      <w:r w:rsidRPr="00A66CEA">
        <w:t xml:space="preserve"> </w:t>
      </w:r>
      <w:r>
        <w:t>a</w:t>
      </w:r>
      <w:r w:rsidRPr="00A66CEA">
        <w:t>tsisak</w:t>
      </w:r>
      <w:r>
        <w:t>ė</w:t>
      </w:r>
      <w:r w:rsidRPr="00A66CEA">
        <w:t xml:space="preserve"> sumokėti, </w:t>
      </w:r>
      <w:r>
        <w:t>todėl</w:t>
      </w:r>
      <w:r w:rsidRPr="00A66CEA">
        <w:t xml:space="preserve"> atliko dešimties dienų kalėjimo bausmę.</w:t>
      </w:r>
    </w:p>
    <w:p w14:paraId="0D2F3836" w14:textId="77777777" w:rsidR="00F9761A" w:rsidRDefault="00F9761A" w:rsidP="00F9761A">
      <w:pPr>
        <w:pStyle w:val="Betarp"/>
        <w:ind w:firstLine="567"/>
        <w:jc w:val="both"/>
      </w:pPr>
      <w:r w:rsidRPr="00DF5AF3">
        <w:t>2010 ir 2011 m</w:t>
      </w:r>
      <w:r>
        <w:t>etais pareiškėjas</w:t>
      </w:r>
      <w:r w:rsidRPr="00DF5AF3">
        <w:t xml:space="preserve"> vėl atsisakė atlikti privalomą</w:t>
      </w:r>
      <w:r>
        <w:t>ją</w:t>
      </w:r>
      <w:r w:rsidRPr="00DF5AF3">
        <w:t xml:space="preserve"> kar</w:t>
      </w:r>
      <w:r>
        <w:t>o</w:t>
      </w:r>
      <w:r w:rsidRPr="00DF5AF3">
        <w:t xml:space="preserve"> tarnybą kaip atsargos karys. Dėl to prieš jį buvo pradėtos dvi papildomos bylos, tačiau vėliau kaltinim</w:t>
      </w:r>
      <w:r>
        <w:t>ai</w:t>
      </w:r>
      <w:r w:rsidRPr="00DF5AF3">
        <w:t xml:space="preserve"> </w:t>
      </w:r>
      <w:r>
        <w:t>atsiimti</w:t>
      </w:r>
      <w:r w:rsidRPr="00DF5AF3">
        <w:t xml:space="preserve"> ir paprašė </w:t>
      </w:r>
      <w:r>
        <w:t>bylas</w:t>
      </w:r>
      <w:r w:rsidRPr="00DF5AF3">
        <w:t xml:space="preserve"> nutrauk</w:t>
      </w:r>
      <w:r>
        <w:t>ti</w:t>
      </w:r>
      <w:r w:rsidRPr="00DF5AF3">
        <w:t xml:space="preserve">. </w:t>
      </w:r>
    </w:p>
    <w:p w14:paraId="678C35E6" w14:textId="42E98CD6" w:rsidR="00F9761A" w:rsidRDefault="00F9761A" w:rsidP="00F9761A">
      <w:pPr>
        <w:pStyle w:val="Betarp"/>
        <w:ind w:firstLine="567"/>
        <w:jc w:val="both"/>
      </w:pPr>
      <w:r>
        <w:t>Pareiškėjas EŽTT peticijoje</w:t>
      </w:r>
      <w:r w:rsidRPr="00E92040">
        <w:t xml:space="preserve"> skundėsi dėl savo nuteisimo už tai, kad atsisakė atlikti kar</w:t>
      </w:r>
      <w:r>
        <w:t>o</w:t>
      </w:r>
      <w:r w:rsidRPr="00E92040">
        <w:t xml:space="preserve"> tarnybą kaip atsargos karys dėl sąžinės prieštaravim</w:t>
      </w:r>
      <w:r>
        <w:t>ų, teigė, kad tuo buvo pažeistas Konvencijos 9 straipsnis.</w:t>
      </w:r>
    </w:p>
    <w:p w14:paraId="08FCA0EF" w14:textId="77777777" w:rsidR="00F9761A" w:rsidRDefault="00F9761A" w:rsidP="00F9761A">
      <w:pPr>
        <w:pStyle w:val="Betarp"/>
        <w:ind w:firstLine="567"/>
        <w:jc w:val="both"/>
      </w:pPr>
    </w:p>
    <w:p w14:paraId="1FEF4DF7" w14:textId="77777777" w:rsidR="00F9761A" w:rsidRPr="00536624" w:rsidRDefault="00F9761A" w:rsidP="00F9761A">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3A8EC6E9" w14:textId="77777777" w:rsidR="00F9761A" w:rsidRDefault="00F9761A" w:rsidP="00F9761A">
      <w:pPr>
        <w:pStyle w:val="Betarp"/>
        <w:jc w:val="center"/>
      </w:pPr>
    </w:p>
    <w:p w14:paraId="1271ABBE" w14:textId="77777777" w:rsidR="00F9761A" w:rsidRDefault="00F9761A" w:rsidP="00F9761A">
      <w:pPr>
        <w:pStyle w:val="Betarp"/>
        <w:ind w:firstLine="567"/>
        <w:jc w:val="both"/>
      </w:pPr>
      <w:r w:rsidRPr="008E281F">
        <w:t>Atsižvelgdamas į pareiškėjo argumentus, jo</w:t>
      </w:r>
      <w:r>
        <w:t>,</w:t>
      </w:r>
      <w:r w:rsidRPr="008E281F">
        <w:t xml:space="preserve"> kaip aktyvisto</w:t>
      </w:r>
      <w:r>
        <w:t>,</w:t>
      </w:r>
      <w:r w:rsidRPr="008E281F">
        <w:t xml:space="preserve"> veiklą ir nuolatinį atsisakymą tarnauti kariuomenėje nepaisant </w:t>
      </w:r>
      <w:r>
        <w:t>jam taikytų</w:t>
      </w:r>
      <w:r w:rsidRPr="008E281F">
        <w:t xml:space="preserve"> priemonių, </w:t>
      </w:r>
      <w:r>
        <w:t>EŽTT darė išvadą</w:t>
      </w:r>
      <w:r w:rsidRPr="008E281F">
        <w:t>, kad pareiškėjo prieštaravimas atlikti kar</w:t>
      </w:r>
      <w:r>
        <w:t>o</w:t>
      </w:r>
      <w:r w:rsidRPr="008E281F">
        <w:t xml:space="preserve"> tarnybą</w:t>
      </w:r>
      <w:r>
        <w:t xml:space="preserve">, </w:t>
      </w:r>
      <w:r w:rsidRPr="008E281F">
        <w:t>nepriklausomai nuo tarnybos pobūdžio</w:t>
      </w:r>
      <w:r>
        <w:t xml:space="preserve">, </w:t>
      </w:r>
      <w:r w:rsidRPr="008E281F">
        <w:t>buvo grindžiamas pakankamai tvirt</w:t>
      </w:r>
      <w:r>
        <w:t>ais</w:t>
      </w:r>
      <w:r w:rsidRPr="008E281F">
        <w:t>, rimt</w:t>
      </w:r>
      <w:r>
        <w:t>ais</w:t>
      </w:r>
      <w:r w:rsidRPr="008E281F">
        <w:t>, nuosekliais ir svarbi</w:t>
      </w:r>
      <w:r>
        <w:t>ais</w:t>
      </w:r>
      <w:r w:rsidRPr="008E281F">
        <w:t xml:space="preserve"> įsitikinimais, </w:t>
      </w:r>
      <w:r>
        <w:t>kuriems galėjo būti taikomos Konvencijos</w:t>
      </w:r>
      <w:r w:rsidRPr="008E281F">
        <w:t xml:space="preserve"> 9 straipsnio garantij</w:t>
      </w:r>
      <w:r>
        <w:t>os</w:t>
      </w:r>
      <w:r w:rsidRPr="008E281F">
        <w:t>.</w:t>
      </w:r>
      <w:r>
        <w:t xml:space="preserve"> Teismas taip pat pažymėjo, jog </w:t>
      </w:r>
      <w:r w:rsidRPr="00CD38A5">
        <w:t>pagal</w:t>
      </w:r>
      <w:r>
        <w:t xml:space="preserve"> </w:t>
      </w:r>
      <w:r w:rsidRPr="00B61089">
        <w:t>ŠKTR</w:t>
      </w:r>
      <w:r w:rsidRPr="00CD38A5">
        <w:t xml:space="preserve"> Kar</w:t>
      </w:r>
      <w:r>
        <w:t>o</w:t>
      </w:r>
      <w:r w:rsidRPr="00CD38A5">
        <w:t xml:space="preserve"> </w:t>
      </w:r>
      <w:r>
        <w:t>t</w:t>
      </w:r>
      <w:r w:rsidRPr="00CD38A5">
        <w:t xml:space="preserve">arnybos </w:t>
      </w:r>
      <w:r>
        <w:t>į</w:t>
      </w:r>
      <w:r w:rsidRPr="00CD38A5">
        <w:t>statymą „atsargos etapas“</w:t>
      </w:r>
      <w:r>
        <w:t xml:space="preserve"> </w:t>
      </w:r>
      <w:r w:rsidRPr="00CD38A5">
        <w:t>yra ne</w:t>
      </w:r>
      <w:r>
        <w:t>at</w:t>
      </w:r>
      <w:r w:rsidRPr="00CD38A5">
        <w:t>skiriama kar</w:t>
      </w:r>
      <w:r>
        <w:t>o</w:t>
      </w:r>
      <w:r w:rsidRPr="00CD38A5">
        <w:t xml:space="preserve"> tarnyb</w:t>
      </w:r>
      <w:r>
        <w:t>os</w:t>
      </w:r>
      <w:r w:rsidRPr="00CD38A5">
        <w:t xml:space="preserve"> dalis.</w:t>
      </w:r>
    </w:p>
    <w:p w14:paraId="2DD65C5C" w14:textId="77777777" w:rsidR="00F9761A" w:rsidRDefault="00F9761A" w:rsidP="00F9761A">
      <w:pPr>
        <w:pStyle w:val="Betarp"/>
        <w:ind w:firstLine="567"/>
        <w:jc w:val="both"/>
      </w:pPr>
      <w:r>
        <w:t xml:space="preserve">Byloje pažymėta, jog pareiškėjas skundėsi ne tik dėl konkrečių valstybės veiksmų, bet ir dėl valstybės nesugebėjimo užtikrinti teisę į alternatyviąją karo tarnybą, grindžiamą sąžinės prieštaravimu. </w:t>
      </w:r>
      <w:r w:rsidRPr="00600155">
        <w:rPr>
          <w:u w:val="single"/>
        </w:rPr>
        <w:t>Nacionalinė teisė, numatanti privalomąją karo tarnybą ginkluotosiose pajėgose, įskaitant atsargos karo tarnybą, nenumatė galimybės asmenims atlikti alternatyviąją karo tarnybą dėl sąžinės prieštaravimų. Nepaisant to, kad aptariamu atveju ginčas kilo ne dėl privalomosios, o dėl atsargos karo tarnybos, kuri truko tik vieną dieną (nors galėjo trukti iki 30 dienų per metus), ši tarnyba yra karo tarnybos tęsinys ir yra atliekama kariniuose barakuose, prižiūrint kariuomenės pareigūnams. Vyriausybė nepateikė įrodymų, kad tokia tarnyba hierarchiškai ir instituciniu požiūriu skiriasi nuo tarnybos kariuomenėje</w:t>
      </w:r>
      <w:r>
        <w:t xml:space="preserve">. </w:t>
      </w:r>
      <w:r w:rsidRPr="00F71475">
        <w:t>Šiomis aplinkybėmis</w:t>
      </w:r>
      <w:r>
        <w:t xml:space="preserve"> Teismas priminė, kad jau anksčiau yra nustatęs, jog sistema, kuri nenumato jokios alternatyviosios karo tarnybos arba veiksmingos ir prieinamos procedūros įgyvendinant teisę į sąžinės prieštaravimus, negali būti laikoma užtikrinančia visuomenės bendrųjų interesų ir asmenų, siekiančių įgyvendinti minėtą teisę, interesų pusiausvyrą. </w:t>
      </w:r>
    </w:p>
    <w:p w14:paraId="13A20214" w14:textId="77777777" w:rsidR="00F9761A" w:rsidRDefault="00F9761A" w:rsidP="00F9761A">
      <w:pPr>
        <w:pStyle w:val="Betarp"/>
        <w:ind w:firstLine="567"/>
        <w:jc w:val="both"/>
      </w:pPr>
      <w:r>
        <w:t>EŽTT konstatavo, kad buvo pažeistas Konvencijos 9 straipsnis.</w:t>
      </w:r>
    </w:p>
    <w:p w14:paraId="493665C6" w14:textId="14CCC915" w:rsidR="00F9761A" w:rsidRDefault="00F9761A" w:rsidP="00F9761A">
      <w:pPr>
        <w:pStyle w:val="Betarp"/>
        <w:ind w:firstLine="567"/>
        <w:jc w:val="both"/>
      </w:pPr>
    </w:p>
    <w:p w14:paraId="46EB32B9" w14:textId="48A187AD" w:rsidR="00F9761A" w:rsidRDefault="00F9761A" w:rsidP="00F9761A">
      <w:pPr>
        <w:pStyle w:val="Betarp"/>
        <w:ind w:firstLine="567"/>
        <w:jc w:val="both"/>
      </w:pPr>
      <w:r>
        <w:t xml:space="preserve">Išvada: </w:t>
      </w:r>
      <w:r w:rsidR="00AD6CF6">
        <w:t>n</w:t>
      </w:r>
      <w:r>
        <w:t xml:space="preserve">ustatytas </w:t>
      </w:r>
      <w:r w:rsidRPr="006B54B1">
        <w:t xml:space="preserve">Konvencijos </w:t>
      </w:r>
      <w:r>
        <w:t>9</w:t>
      </w:r>
      <w:r w:rsidRPr="006B54B1">
        <w:t xml:space="preserve"> straipsni</w:t>
      </w:r>
      <w:r>
        <w:t>o</w:t>
      </w:r>
      <w:r w:rsidRPr="006B54B1">
        <w:t xml:space="preserve"> pažeidimas (</w:t>
      </w:r>
      <w:r>
        <w:t>vienbalsiai</w:t>
      </w:r>
      <w:r w:rsidRPr="006B54B1">
        <w:t>).</w:t>
      </w:r>
    </w:p>
    <w:p w14:paraId="4805BC39" w14:textId="17E6EBFF" w:rsidR="00F9761A" w:rsidRDefault="00AD6CF6" w:rsidP="00F9761A">
      <w:pPr>
        <w:pStyle w:val="Betarp"/>
        <w:ind w:firstLine="567"/>
        <w:jc w:val="both"/>
      </w:pPr>
      <w:r>
        <w:t>41 straipsnis: p</w:t>
      </w:r>
      <w:r w:rsidR="00F9761A" w:rsidRPr="000C02D5">
        <w:t xml:space="preserve">areiškėjui priteista </w:t>
      </w:r>
      <w:r w:rsidR="00F9761A">
        <w:t>9</w:t>
      </w:r>
      <w:r w:rsidR="00F9761A" w:rsidRPr="000C02D5">
        <w:t xml:space="preserve"> 000 Eur neturtinei žalai atlyginti.</w:t>
      </w:r>
    </w:p>
    <w:p w14:paraId="1F12A875" w14:textId="3BAEA225" w:rsidR="00F9761A" w:rsidRDefault="00F9761A" w:rsidP="00F9761A">
      <w:pPr>
        <w:pStyle w:val="Betarp"/>
        <w:ind w:firstLine="567"/>
        <w:jc w:val="both"/>
      </w:pPr>
      <w:hyperlink r:id="rId17" w:anchor="{%22itemid%22:[%22001-231540%22]}" w:history="1">
        <w:r w:rsidRPr="00795B24">
          <w:rPr>
            <w:rStyle w:val="Hipersaitas"/>
          </w:rPr>
          <w:t>Prieiga internete</w:t>
        </w:r>
      </w:hyperlink>
      <w:r w:rsidR="00235FAC" w:rsidRPr="00235FAC">
        <w:rPr>
          <w:rStyle w:val="Hipersaitas"/>
          <w:u w:val="none"/>
        </w:rPr>
        <w:t xml:space="preserve"> (prancūzų k.)</w:t>
      </w:r>
    </w:p>
    <w:p w14:paraId="29D54A80" w14:textId="77777777" w:rsidR="00F9761A" w:rsidRDefault="00F9761A" w:rsidP="00F9761A">
      <w:pPr>
        <w:pStyle w:val="Betarp"/>
        <w:jc w:val="both"/>
      </w:pPr>
    </w:p>
    <w:p w14:paraId="33852374" w14:textId="77777777" w:rsidR="00837CD5" w:rsidRPr="00C170C3" w:rsidRDefault="00837CD5" w:rsidP="00837CD5">
      <w:pPr>
        <w:pStyle w:val="Antrat1"/>
        <w:spacing w:before="0"/>
        <w:ind w:right="-1"/>
        <w:rPr>
          <w:rFonts w:eastAsia="Times New Roman" w:cstheme="minorHAnsi"/>
          <w:szCs w:val="22"/>
        </w:rPr>
      </w:pPr>
      <w:bookmarkStart w:id="30" w:name="_Toc181709498"/>
      <w:r w:rsidRPr="00C170C3">
        <w:rPr>
          <w:rFonts w:eastAsia="Times New Roman" w:cstheme="minorHAnsi"/>
          <w:szCs w:val="22"/>
        </w:rPr>
        <w:t>SAVIRAIŠKOS LAISVĖ (10 straipsnis)</w:t>
      </w:r>
      <w:bookmarkEnd w:id="20"/>
      <w:bookmarkEnd w:id="30"/>
    </w:p>
    <w:p w14:paraId="15ADE4BF" w14:textId="77777777" w:rsidR="00837CD5" w:rsidRDefault="00837CD5" w:rsidP="007E595E">
      <w:pPr>
        <w:spacing w:after="0" w:line="240" w:lineRule="auto"/>
        <w:jc w:val="both"/>
      </w:pPr>
    </w:p>
    <w:p w14:paraId="7F27469C" w14:textId="507BBFCC" w:rsidR="007E595E" w:rsidRDefault="007E595E" w:rsidP="007E595E">
      <w:pPr>
        <w:pBdr>
          <w:top w:val="nil"/>
          <w:left w:val="nil"/>
          <w:bottom w:val="nil"/>
          <w:right w:val="nil"/>
          <w:between w:val="nil"/>
        </w:pBdr>
        <w:tabs>
          <w:tab w:val="left" w:pos="851"/>
        </w:tabs>
        <w:spacing w:after="0" w:line="240" w:lineRule="auto"/>
        <w:jc w:val="center"/>
        <w:rPr>
          <w:b/>
          <w:bCs/>
        </w:rPr>
      </w:pPr>
      <w:r w:rsidRPr="00E961C8">
        <w:rPr>
          <w:b/>
          <w:bCs/>
        </w:rPr>
        <w:t xml:space="preserve">Europos Žmogaus Teisių </w:t>
      </w:r>
      <w:r w:rsidRPr="00F62C3F">
        <w:rPr>
          <w:b/>
          <w:bCs/>
        </w:rPr>
        <w:t xml:space="preserve">Teismo 2024 m. kovo 19 d. sprendimas </w:t>
      </w:r>
      <w:r w:rsidR="00477B5C">
        <w:rPr>
          <w:rFonts w:cs="Arial"/>
          <w:b/>
        </w:rPr>
        <w:t>dėl priimtinumo</w:t>
      </w:r>
      <w:r w:rsidR="00477B5C" w:rsidRPr="000C65AA">
        <w:rPr>
          <w:rFonts w:cs="Arial"/>
          <w:b/>
        </w:rPr>
        <w:t xml:space="preserve"> </w:t>
      </w:r>
      <w:r w:rsidRPr="00E961C8">
        <w:rPr>
          <w:b/>
          <w:bCs/>
        </w:rPr>
        <w:t xml:space="preserve">byloje </w:t>
      </w:r>
    </w:p>
    <w:p w14:paraId="20CCBE9E" w14:textId="77777777" w:rsidR="007E595E" w:rsidRPr="007E595E" w:rsidRDefault="007E595E" w:rsidP="007E595E">
      <w:pPr>
        <w:keepNext/>
        <w:keepLines/>
        <w:spacing w:after="0" w:line="240" w:lineRule="auto"/>
        <w:jc w:val="center"/>
        <w:outlineLvl w:val="1"/>
        <w:rPr>
          <w:rFonts w:ascii="Calibri" w:eastAsia="Times New Roman" w:hAnsi="Calibri" w:cs="Times New Roman"/>
          <w:b/>
          <w:bCs/>
          <w:i/>
          <w:iCs/>
          <w:color w:val="2E74B5"/>
        </w:rPr>
      </w:pPr>
      <w:bookmarkStart w:id="31" w:name="_Toc181709499"/>
      <w:r w:rsidRPr="007E595E">
        <w:rPr>
          <w:rFonts w:ascii="Calibri" w:eastAsia="Times New Roman" w:hAnsi="Calibri" w:cs="Times New Roman"/>
          <w:b/>
          <w:bCs/>
          <w:i/>
          <w:iCs/>
          <w:color w:val="2E74B5"/>
        </w:rPr>
        <w:t>Kirkorov prieš Lietuvą</w:t>
      </w:r>
      <w:bookmarkEnd w:id="31"/>
      <w:r w:rsidRPr="007E595E">
        <w:rPr>
          <w:rFonts w:ascii="Calibri" w:eastAsia="Times New Roman" w:hAnsi="Calibri" w:cs="Times New Roman"/>
          <w:b/>
          <w:bCs/>
          <w:i/>
          <w:iCs/>
          <w:color w:val="2E74B5"/>
        </w:rPr>
        <w:t xml:space="preserve"> </w:t>
      </w:r>
    </w:p>
    <w:p w14:paraId="69B97542" w14:textId="77777777" w:rsidR="007E595E" w:rsidRPr="00536624" w:rsidRDefault="007E595E" w:rsidP="007E595E">
      <w:pPr>
        <w:pBdr>
          <w:top w:val="nil"/>
          <w:left w:val="nil"/>
          <w:bottom w:val="nil"/>
          <w:right w:val="nil"/>
          <w:between w:val="nil"/>
        </w:pBdr>
        <w:tabs>
          <w:tab w:val="left" w:pos="851"/>
        </w:tabs>
        <w:spacing w:after="0" w:line="240" w:lineRule="auto"/>
        <w:jc w:val="center"/>
        <w:rPr>
          <w:rFonts w:eastAsia="Times New Roman" w:cstheme="minorHAnsi"/>
          <w:b/>
        </w:rPr>
      </w:pPr>
      <w:r w:rsidRPr="00E961C8">
        <w:rPr>
          <w:b/>
          <w:bCs/>
        </w:rPr>
        <w:t xml:space="preserve">(pareiškimo Nr. </w:t>
      </w:r>
      <w:r w:rsidRPr="009C5050">
        <w:rPr>
          <w:b/>
          <w:bCs/>
        </w:rPr>
        <w:t>12174/22</w:t>
      </w:r>
      <w:r>
        <w:rPr>
          <w:b/>
          <w:bCs/>
        </w:rPr>
        <w:t>,</w:t>
      </w:r>
      <w:r w:rsidRPr="00536624">
        <w:rPr>
          <w:rFonts w:eastAsia="Times New Roman" w:cstheme="minorHAnsi"/>
          <w:b/>
        </w:rPr>
        <w:t xml:space="preserve"> svarbos lygis – </w:t>
      </w:r>
      <w:r>
        <w:rPr>
          <w:rFonts w:eastAsia="Times New Roman" w:cstheme="minorHAnsi"/>
          <w:b/>
        </w:rPr>
        <w:t>3</w:t>
      </w:r>
      <w:r w:rsidRPr="00536624">
        <w:rPr>
          <w:rFonts w:eastAsia="Times New Roman" w:cstheme="minorHAnsi"/>
          <w:b/>
        </w:rPr>
        <w:t>)</w:t>
      </w:r>
    </w:p>
    <w:p w14:paraId="0AD45838" w14:textId="77777777" w:rsidR="007E595E" w:rsidRPr="00536624" w:rsidRDefault="007E595E" w:rsidP="007E595E">
      <w:pPr>
        <w:pBdr>
          <w:top w:val="nil"/>
          <w:left w:val="nil"/>
          <w:bottom w:val="nil"/>
          <w:right w:val="nil"/>
          <w:between w:val="nil"/>
        </w:pBdr>
        <w:tabs>
          <w:tab w:val="left" w:pos="851"/>
        </w:tabs>
        <w:spacing w:after="0" w:line="240" w:lineRule="auto"/>
        <w:jc w:val="both"/>
        <w:rPr>
          <w:rFonts w:eastAsia="Times New Roman" w:cstheme="minorHAnsi"/>
          <w:color w:val="000000"/>
        </w:rPr>
      </w:pPr>
    </w:p>
    <w:p w14:paraId="0F491DC2" w14:textId="25D207C6" w:rsidR="007E595E" w:rsidRPr="007E595E" w:rsidRDefault="007E595E" w:rsidP="007E595E">
      <w:pPr>
        <w:pStyle w:val="Antrat3"/>
        <w:spacing w:before="0" w:line="240" w:lineRule="auto"/>
        <w:ind w:right="-1" w:firstLine="567"/>
        <w:rPr>
          <w:rFonts w:ascii="Calibri" w:eastAsia="Times New Roman" w:hAnsi="Calibri" w:cs="Times New Roman"/>
        </w:rPr>
      </w:pPr>
      <w:bookmarkStart w:id="32" w:name="_Toc181709500"/>
      <w:r w:rsidRPr="007E595E">
        <w:rPr>
          <w:rFonts w:ascii="Calibri" w:eastAsia="Times New Roman" w:hAnsi="Calibri" w:cs="Times New Roman"/>
        </w:rPr>
        <w:t>Dėl Rusijos atlikėjo, kuriam uždrausta atvykti į Lietuvą dėl keliamos grėsmės nacionaliniam saugumui, saviraiškos laisvės</w:t>
      </w:r>
      <w:bookmarkEnd w:id="32"/>
    </w:p>
    <w:p w14:paraId="030764E9" w14:textId="77777777" w:rsidR="007E595E" w:rsidRPr="00536624" w:rsidRDefault="007E595E" w:rsidP="007E595E">
      <w:pPr>
        <w:pBdr>
          <w:top w:val="nil"/>
          <w:left w:val="nil"/>
          <w:bottom w:val="nil"/>
          <w:right w:val="nil"/>
          <w:between w:val="nil"/>
        </w:pBdr>
        <w:tabs>
          <w:tab w:val="left" w:pos="851"/>
        </w:tabs>
        <w:spacing w:after="0" w:line="240" w:lineRule="auto"/>
        <w:jc w:val="both"/>
        <w:rPr>
          <w:rFonts w:eastAsia="Times New Roman" w:cstheme="minorHAnsi"/>
          <w:color w:val="000000"/>
        </w:rPr>
      </w:pPr>
    </w:p>
    <w:p w14:paraId="4DB6F26B" w14:textId="77777777" w:rsidR="007E595E" w:rsidRPr="00536624" w:rsidRDefault="007E595E" w:rsidP="007E595E">
      <w:pPr>
        <w:pBdr>
          <w:top w:val="nil"/>
          <w:left w:val="nil"/>
          <w:bottom w:val="nil"/>
          <w:right w:val="nil"/>
          <w:between w:val="nil"/>
        </w:pBdr>
        <w:tabs>
          <w:tab w:val="left" w:pos="851"/>
        </w:tabs>
        <w:spacing w:after="0" w:line="240" w:lineRule="auto"/>
        <w:jc w:val="center"/>
        <w:rPr>
          <w:rFonts w:eastAsia="Times New Roman" w:cstheme="minorHAnsi"/>
          <w:b/>
          <w:bCs/>
          <w:color w:val="000000"/>
        </w:rPr>
      </w:pPr>
      <w:r w:rsidRPr="00536624">
        <w:rPr>
          <w:rFonts w:eastAsia="Times New Roman" w:cstheme="minorHAnsi"/>
          <w:b/>
          <w:bCs/>
          <w:color w:val="000000"/>
        </w:rPr>
        <w:t>Faktinės aplinkybės</w:t>
      </w:r>
    </w:p>
    <w:p w14:paraId="7E7EE06A" w14:textId="77777777" w:rsidR="007E595E" w:rsidRPr="00536624" w:rsidRDefault="007E595E" w:rsidP="007E595E">
      <w:pPr>
        <w:pBdr>
          <w:top w:val="nil"/>
          <w:left w:val="nil"/>
          <w:bottom w:val="nil"/>
          <w:right w:val="nil"/>
          <w:between w:val="nil"/>
        </w:pBdr>
        <w:spacing w:after="0" w:line="240" w:lineRule="auto"/>
        <w:ind w:firstLine="567"/>
        <w:jc w:val="both"/>
        <w:rPr>
          <w:rFonts w:eastAsia="Times New Roman" w:cstheme="minorHAnsi"/>
          <w:color w:val="000000"/>
        </w:rPr>
      </w:pPr>
    </w:p>
    <w:p w14:paraId="647448C7" w14:textId="30BC780B" w:rsidR="007E595E" w:rsidRDefault="007E595E" w:rsidP="007E595E">
      <w:pPr>
        <w:pBdr>
          <w:top w:val="nil"/>
          <w:left w:val="nil"/>
          <w:bottom w:val="nil"/>
          <w:right w:val="nil"/>
          <w:between w:val="nil"/>
        </w:pBdr>
        <w:spacing w:after="0" w:line="240" w:lineRule="auto"/>
        <w:ind w:firstLine="567"/>
        <w:jc w:val="both"/>
      </w:pPr>
      <w:r>
        <w:t xml:space="preserve">Pareiškėjas yra Rusijos ir Bulgarijos pilietybes turintis atlikėjas, kuriam 2021 metais buvo uždrausta 5 metams atvykti į Lietuvos Respubliką, vadovaujantis tuo, kad Lietuvos kompetentingų institucijų vertinimu, </w:t>
      </w:r>
      <w:r w:rsidRPr="00944C4F">
        <w:t>jis laikomas grėsme nacionaliniam saugumui</w:t>
      </w:r>
      <w:r>
        <w:t xml:space="preserve">. Pareiškėjas </w:t>
      </w:r>
      <w:r w:rsidRPr="00653AD0">
        <w:t>yra populiarus Rusijos atlikėjas ir prodiuseris, dėl savo aktyvios koncertinės ir organizacinės veiklos darantis įtaką dideliems visuomenės sluoksniams Rusijos Federacijoje ir kitose buvusios SSSR valstybėse, jo koncertinė veikla užsienio valstybėse oficialių Rusijos Federacijos pareigūnų atvirai įvardijama kaip Rusijos Federacijos „minkštosios galios“ sklaidos įrankis.</w:t>
      </w:r>
      <w:r w:rsidR="00137DC7">
        <w:t xml:space="preserve"> </w:t>
      </w:r>
      <w:r>
        <w:t>Be to, p</w:t>
      </w:r>
      <w:r w:rsidRPr="00653AD0">
        <w:t>areiškėjas reguliariai lankosi ir koncertuoja Rusijos Federacijos neteisėtai aneksuotame Krymo pusiasalyje, taip sąmoningai paneigdamas Ukrainos teritorinį integralumą ir suverenitetą, ir taip netiesiogiai pateisi</w:t>
      </w:r>
      <w:r>
        <w:t>ndamas</w:t>
      </w:r>
      <w:r w:rsidRPr="00653AD0">
        <w:t xml:space="preserve"> </w:t>
      </w:r>
      <w:r w:rsidRPr="00653AD0">
        <w:lastRenderedPageBreak/>
        <w:t>agresyvius Rusijos Federacijos veiksmus.</w:t>
      </w:r>
      <w:r w:rsidR="00137DC7">
        <w:t xml:space="preserve"> </w:t>
      </w:r>
      <w:r>
        <w:t>Kompetentingos institucijos taip pat nurodė, kad</w:t>
      </w:r>
      <w:r w:rsidRPr="00653AD0">
        <w:t xml:space="preserve"> pareiškėją Rusijos Federacija išnaudoja siekdama pateisinti savo agresyvią užsienio politiką ir neigiamai indoktrinuoti Lietuvos Respublikos gyventojus, o jis pats savo pavyzdžiu ir sąmoningais veiksmais palaiko Rusijos Federacijos okupacinę politiką</w:t>
      </w:r>
      <w:r>
        <w:t>.</w:t>
      </w:r>
    </w:p>
    <w:p w14:paraId="5C18E750" w14:textId="0B42A383" w:rsidR="007E595E" w:rsidRDefault="007E595E" w:rsidP="007E595E">
      <w:pPr>
        <w:pBdr>
          <w:top w:val="nil"/>
          <w:left w:val="nil"/>
          <w:bottom w:val="nil"/>
          <w:right w:val="nil"/>
          <w:between w:val="nil"/>
        </w:pBdr>
        <w:spacing w:after="0" w:line="240" w:lineRule="auto"/>
        <w:ind w:firstLine="567"/>
        <w:jc w:val="both"/>
      </w:pPr>
      <w:r>
        <w:t xml:space="preserve">Pareiškėjas šį draudimą nesėkmingai </w:t>
      </w:r>
      <w:r w:rsidRPr="00376DAB">
        <w:t xml:space="preserve">skundė </w:t>
      </w:r>
      <w:r>
        <w:t xml:space="preserve">Lietuvos </w:t>
      </w:r>
      <w:r w:rsidRPr="00376DAB">
        <w:t>teism</w:t>
      </w:r>
      <w:r>
        <w:t>ams,</w:t>
      </w:r>
      <w:r w:rsidRPr="00376DAB">
        <w:t xml:space="preserve"> pabrėž</w:t>
      </w:r>
      <w:r>
        <w:t>damas</w:t>
      </w:r>
      <w:r w:rsidRPr="00376DAB">
        <w:t>, kad yra menininkas ir nesidomi politika</w:t>
      </w:r>
      <w:r>
        <w:t>; j</w:t>
      </w:r>
      <w:r w:rsidRPr="00376DAB">
        <w:t>o dainos yra apie meilę, žmonių santykius ir gamtą</w:t>
      </w:r>
      <w:r>
        <w:t xml:space="preserve">. Vis dėlto buvo konstatuota, kad </w:t>
      </w:r>
      <w:r w:rsidRPr="00582110">
        <w:t>draudimas nebuvo neproporcingas: p</w:t>
      </w:r>
      <w:r>
        <w:t>areiškėjas</w:t>
      </w:r>
      <w:r w:rsidRPr="00582110">
        <w:t xml:space="preserve"> neturėjo šeim</w:t>
      </w:r>
      <w:r>
        <w:t>inių</w:t>
      </w:r>
      <w:r w:rsidRPr="00582110">
        <w:t>, socialinių ar ekonominių ryšių Lietuvoje, be to, jo teisė rengti koncertus kitose ES valstybėse narėse nebuvo apribota.</w:t>
      </w:r>
      <w:r w:rsidR="00AC5344">
        <w:t xml:space="preserve"> </w:t>
      </w:r>
      <w:r w:rsidR="00AC5344" w:rsidRPr="006477A1">
        <w:rPr>
          <w:rFonts w:eastAsia="Calibri"/>
        </w:rPr>
        <w:t>Lietuvos vyriausiojo administracinio teism</w:t>
      </w:r>
      <w:r w:rsidR="00AC5344">
        <w:rPr>
          <w:rFonts w:eastAsia="Calibri"/>
        </w:rPr>
        <w:t xml:space="preserve">as </w:t>
      </w:r>
      <w:r w:rsidR="00AC5344" w:rsidRPr="006477A1">
        <w:rPr>
          <w:rFonts w:eastAsia="Calibri"/>
        </w:rPr>
        <w:t>2021 m. rugsėjo 1 d.</w:t>
      </w:r>
      <w:r w:rsidR="00AC5344">
        <w:rPr>
          <w:rFonts w:eastAsia="Calibri"/>
        </w:rPr>
        <w:t xml:space="preserve"> priėmė galutinę </w:t>
      </w:r>
      <w:r w:rsidR="00AC5344" w:rsidRPr="006477A1">
        <w:rPr>
          <w:rFonts w:eastAsia="Calibri"/>
        </w:rPr>
        <w:t>nutart</w:t>
      </w:r>
      <w:r w:rsidR="00AC5344">
        <w:rPr>
          <w:rFonts w:eastAsia="Calibri"/>
        </w:rPr>
        <w:t>į</w:t>
      </w:r>
      <w:r w:rsidR="00AC5344" w:rsidRPr="006477A1">
        <w:rPr>
          <w:rFonts w:eastAsia="Calibri"/>
        </w:rPr>
        <w:t xml:space="preserve"> administracinėje byloje Nr. eA-3521-968/2021</w:t>
      </w:r>
      <w:r w:rsidR="00AC5344">
        <w:rPr>
          <w:rFonts w:eastAsia="Calibri"/>
        </w:rPr>
        <w:t xml:space="preserve"> ir konstatavo, kad </w:t>
      </w:r>
      <w:r w:rsidR="00AC5344" w:rsidRPr="00260FA8">
        <w:rPr>
          <w:rFonts w:eastAsia="Calibri"/>
        </w:rPr>
        <w:t>pareiškėjo elgesys, jo anksčiau atlikti veiksmai, jų pobūdis suteik</w:t>
      </w:r>
      <w:r w:rsidR="00AC5344">
        <w:rPr>
          <w:rFonts w:eastAsia="Calibri"/>
        </w:rPr>
        <w:t>ė</w:t>
      </w:r>
      <w:r w:rsidR="00AC5344" w:rsidRPr="00260FA8">
        <w:rPr>
          <w:rFonts w:eastAsia="Calibri"/>
        </w:rPr>
        <w:t xml:space="preserve"> pakankamą pagrindą prieiti prie išvados apie </w:t>
      </w:r>
      <w:r w:rsidR="00AC5344">
        <w:rPr>
          <w:rFonts w:eastAsia="Calibri"/>
        </w:rPr>
        <w:t>jo</w:t>
      </w:r>
      <w:r w:rsidR="00AC5344" w:rsidRPr="00260FA8">
        <w:rPr>
          <w:rFonts w:eastAsia="Calibri"/>
        </w:rPr>
        <w:t xml:space="preserve"> keliamą grėsmę valstybės saugumui, todėl </w:t>
      </w:r>
      <w:r w:rsidR="00AC5344">
        <w:rPr>
          <w:rFonts w:eastAsia="Calibri"/>
        </w:rPr>
        <w:t>ginčytas s</w:t>
      </w:r>
      <w:r w:rsidR="00AC5344" w:rsidRPr="00260FA8">
        <w:rPr>
          <w:rFonts w:eastAsia="Calibri"/>
        </w:rPr>
        <w:t xml:space="preserve">prendimas kaip ribojanti priemonė </w:t>
      </w:r>
      <w:r w:rsidR="00AC5344">
        <w:rPr>
          <w:rFonts w:eastAsia="Calibri"/>
        </w:rPr>
        <w:t>buvo</w:t>
      </w:r>
      <w:r w:rsidR="00AC5344" w:rsidRPr="00260FA8">
        <w:rPr>
          <w:rFonts w:eastAsia="Calibri"/>
        </w:rPr>
        <w:t xml:space="preserve"> pateisinama, proporcinga ir būtina siekiamam tikslui – užkirsti kelią atvykti į Lietuvos Respublikos teritoriją </w:t>
      </w:r>
      <w:r w:rsidR="00AC5344">
        <w:rPr>
          <w:rFonts w:eastAsia="Calibri"/>
        </w:rPr>
        <w:t>trečiosios šalies piliečiui</w:t>
      </w:r>
      <w:r w:rsidR="00AC5344" w:rsidRPr="00260FA8">
        <w:rPr>
          <w:rFonts w:eastAsia="Calibri"/>
        </w:rPr>
        <w:t xml:space="preserve">, kurio buvimas Lietuvos Respublikoje nepageidaujamas ir vertinamas kaip keliantis grėsmę valstybės saugumui, pasiekti. </w:t>
      </w:r>
      <w:r w:rsidR="00AC5344">
        <w:rPr>
          <w:rFonts w:eastAsia="Calibri"/>
        </w:rPr>
        <w:t>T</w:t>
      </w:r>
      <w:r w:rsidR="00AC5344" w:rsidRPr="00260FA8">
        <w:rPr>
          <w:rFonts w:eastAsia="Calibri"/>
        </w:rPr>
        <w:t xml:space="preserve">eismas nustatė, jog </w:t>
      </w:r>
      <w:r w:rsidR="00AC5344">
        <w:rPr>
          <w:rFonts w:eastAsia="Calibri"/>
        </w:rPr>
        <w:t>pareiškėjui</w:t>
      </w:r>
      <w:r w:rsidR="00AC5344" w:rsidRPr="00260FA8">
        <w:rPr>
          <w:rFonts w:eastAsia="Calibri"/>
        </w:rPr>
        <w:t xml:space="preserve"> buvo teisėtai taikytas 5 metų draudimas atvykti į Lietuvą, kadangi tai buvo </w:t>
      </w:r>
      <w:r w:rsidR="00AC5344">
        <w:rPr>
          <w:rFonts w:eastAsia="Calibri"/>
        </w:rPr>
        <w:t xml:space="preserve">proporcinga </w:t>
      </w:r>
      <w:r w:rsidR="00AC5344" w:rsidRPr="00260FA8">
        <w:rPr>
          <w:rFonts w:eastAsia="Calibri"/>
        </w:rPr>
        <w:t xml:space="preserve">priemonė siekiamiems tikslams užtikrinti. </w:t>
      </w:r>
      <w:r w:rsidR="00AC5344">
        <w:rPr>
          <w:rFonts w:eastAsia="Calibri"/>
        </w:rPr>
        <w:t>Be to, nenustačius</w:t>
      </w:r>
      <w:r w:rsidR="00AC5344" w:rsidRPr="00260FA8">
        <w:rPr>
          <w:rFonts w:eastAsia="Calibri"/>
        </w:rPr>
        <w:t xml:space="preserve"> joki</w:t>
      </w:r>
      <w:r w:rsidR="00AC5344">
        <w:rPr>
          <w:rFonts w:eastAsia="Calibri"/>
        </w:rPr>
        <w:t>ų</w:t>
      </w:r>
      <w:r w:rsidR="00AC5344" w:rsidRPr="00260FA8">
        <w:rPr>
          <w:rFonts w:eastAsia="Calibri"/>
        </w:rPr>
        <w:t xml:space="preserve"> </w:t>
      </w:r>
      <w:r w:rsidR="00AC5344">
        <w:rPr>
          <w:rFonts w:eastAsia="Calibri"/>
        </w:rPr>
        <w:t xml:space="preserve">svarbių </w:t>
      </w:r>
      <w:r w:rsidR="00AC5344" w:rsidRPr="00260FA8">
        <w:rPr>
          <w:rFonts w:eastAsia="Calibri"/>
        </w:rPr>
        <w:t>šeimin</w:t>
      </w:r>
      <w:r w:rsidR="00AC5344">
        <w:rPr>
          <w:rFonts w:eastAsia="Calibri"/>
        </w:rPr>
        <w:t>ių</w:t>
      </w:r>
      <w:r w:rsidR="00AC5344" w:rsidRPr="00260FA8">
        <w:rPr>
          <w:rFonts w:eastAsia="Calibri"/>
        </w:rPr>
        <w:t>, socialini</w:t>
      </w:r>
      <w:r w:rsidR="00AC5344">
        <w:rPr>
          <w:rFonts w:eastAsia="Calibri"/>
        </w:rPr>
        <w:t>ų</w:t>
      </w:r>
      <w:r w:rsidR="00AC5344" w:rsidRPr="00260FA8">
        <w:rPr>
          <w:rFonts w:eastAsia="Calibri"/>
        </w:rPr>
        <w:t xml:space="preserve"> ar kitoki</w:t>
      </w:r>
      <w:r w:rsidR="00AC5344">
        <w:rPr>
          <w:rFonts w:eastAsia="Calibri"/>
        </w:rPr>
        <w:t>ų</w:t>
      </w:r>
      <w:r w:rsidR="00AC5344" w:rsidRPr="00260FA8">
        <w:rPr>
          <w:rFonts w:eastAsia="Calibri"/>
        </w:rPr>
        <w:t xml:space="preserve"> svar</w:t>
      </w:r>
      <w:r w:rsidR="00AC5344">
        <w:rPr>
          <w:rFonts w:eastAsia="Calibri"/>
        </w:rPr>
        <w:t>bių</w:t>
      </w:r>
      <w:r w:rsidR="00AC5344" w:rsidRPr="00260FA8">
        <w:rPr>
          <w:rFonts w:eastAsia="Calibri"/>
        </w:rPr>
        <w:t xml:space="preserve"> ryši</w:t>
      </w:r>
      <w:r w:rsidR="00AC5344">
        <w:rPr>
          <w:rFonts w:eastAsia="Calibri"/>
        </w:rPr>
        <w:t xml:space="preserve">ų Lietuvoje, pareiškėjui </w:t>
      </w:r>
      <w:r w:rsidR="00AC5344" w:rsidRPr="00260FA8">
        <w:rPr>
          <w:rFonts w:eastAsia="Calibri"/>
        </w:rPr>
        <w:t xml:space="preserve">taikytas </w:t>
      </w:r>
      <w:r w:rsidR="00AC5344">
        <w:rPr>
          <w:rFonts w:eastAsia="Calibri"/>
        </w:rPr>
        <w:t xml:space="preserve">draudimas </w:t>
      </w:r>
      <w:r w:rsidR="00AC5344" w:rsidRPr="00260FA8">
        <w:rPr>
          <w:rFonts w:eastAsia="Calibri"/>
        </w:rPr>
        <w:t xml:space="preserve">tik atvykimui į Lietuvą, tačiau </w:t>
      </w:r>
      <w:r w:rsidR="00AC5344">
        <w:rPr>
          <w:rFonts w:eastAsia="Calibri"/>
        </w:rPr>
        <w:t xml:space="preserve">jo, </w:t>
      </w:r>
      <w:r w:rsidR="00AC5344" w:rsidRPr="00260FA8">
        <w:rPr>
          <w:rFonts w:eastAsia="Calibri"/>
        </w:rPr>
        <w:t>kaip Europos Sąjungos piliečio, teisė laisvai judėti po valstybių narių teritoriją, vykdyti savo koncertinę veiklą kitose ES valstybėse nebuvo apribota.</w:t>
      </w:r>
      <w:r w:rsidR="00AC5344">
        <w:rPr>
          <w:rFonts w:eastAsia="Calibri"/>
        </w:rPr>
        <w:t xml:space="preserve"> T</w:t>
      </w:r>
      <w:r w:rsidR="00AC5344" w:rsidRPr="00DA38CD">
        <w:rPr>
          <w:rFonts w:eastAsia="Calibri"/>
        </w:rPr>
        <w:t>eismas konstatavo, jog pareiškėjo teiginiai apie diskriminaciją, lyginant su kitais užsieniečiais, nėra pagrįsti, nes kiekvieno konkretaus užsieniečio situacija paprastai yra unikali</w:t>
      </w:r>
      <w:r w:rsidR="00AC5344">
        <w:rPr>
          <w:rFonts w:eastAsia="Calibri"/>
        </w:rPr>
        <w:t>.</w:t>
      </w:r>
    </w:p>
    <w:p w14:paraId="426ECCEB" w14:textId="05810396" w:rsidR="007E595E" w:rsidRDefault="007E595E" w:rsidP="007E595E">
      <w:pPr>
        <w:pBdr>
          <w:top w:val="nil"/>
          <w:left w:val="nil"/>
          <w:bottom w:val="nil"/>
          <w:right w:val="nil"/>
          <w:between w:val="nil"/>
        </w:pBdr>
        <w:spacing w:after="0" w:line="240" w:lineRule="auto"/>
        <w:ind w:firstLine="567"/>
        <w:jc w:val="both"/>
      </w:pPr>
      <w:r>
        <w:t>R</w:t>
      </w:r>
      <w:r w:rsidRPr="00EA0C13">
        <w:t xml:space="preserve">emdamasis </w:t>
      </w:r>
      <w:r>
        <w:t xml:space="preserve">Konvencijos </w:t>
      </w:r>
      <w:r w:rsidRPr="00EA0C13">
        <w:t>10 straipsniu</w:t>
      </w:r>
      <w:r w:rsidR="00227A10">
        <w:t>,</w:t>
      </w:r>
      <w:r>
        <w:t xml:space="preserve"> pareiškėjas</w:t>
      </w:r>
      <w:r w:rsidRPr="00EA0C13">
        <w:t xml:space="preserve"> </w:t>
      </w:r>
      <w:r>
        <w:t>Europos Žmogaus Teisių Teismui skundėsi</w:t>
      </w:r>
      <w:r w:rsidRPr="00EA0C13">
        <w:t xml:space="preserve">, kad </w:t>
      </w:r>
      <w:r>
        <w:t xml:space="preserve">jo atžvilgiu priimtas </w:t>
      </w:r>
      <w:r w:rsidRPr="00EA0C13">
        <w:t>draudimas buvo jo politin</w:t>
      </w:r>
      <w:r>
        <w:t>ių</w:t>
      </w:r>
      <w:r w:rsidRPr="00EA0C13">
        <w:t xml:space="preserve"> pažiūr</w:t>
      </w:r>
      <w:r>
        <w:t xml:space="preserve">ų cenzūros priemonė. Remdamasis Konvencijos </w:t>
      </w:r>
      <w:r w:rsidRPr="00EA0C13">
        <w:t>1 protokolo 1 straipsniu pareiškėjas</w:t>
      </w:r>
      <w:r>
        <w:t xml:space="preserve"> </w:t>
      </w:r>
      <w:r w:rsidRPr="00EA0C13">
        <w:t>skundėsi dėl prarastų pajamų ir būtinybės grąžinti pinigus už atšauktus koncertus Lietuvoje.</w:t>
      </w:r>
    </w:p>
    <w:p w14:paraId="2FB81995" w14:textId="77777777" w:rsidR="007E595E" w:rsidRDefault="007E595E" w:rsidP="007E595E">
      <w:pPr>
        <w:pBdr>
          <w:top w:val="nil"/>
          <w:left w:val="nil"/>
          <w:bottom w:val="nil"/>
          <w:right w:val="nil"/>
          <w:between w:val="nil"/>
        </w:pBdr>
        <w:tabs>
          <w:tab w:val="left" w:pos="851"/>
        </w:tabs>
        <w:spacing w:after="0" w:line="240" w:lineRule="auto"/>
        <w:jc w:val="both"/>
      </w:pPr>
    </w:p>
    <w:p w14:paraId="44BA242C" w14:textId="77777777" w:rsidR="007E595E" w:rsidRPr="00536624" w:rsidRDefault="007E595E" w:rsidP="007E595E">
      <w:pPr>
        <w:shd w:val="clear" w:color="auto" w:fill="FFFFFF"/>
        <w:spacing w:after="0" w:line="240" w:lineRule="auto"/>
        <w:jc w:val="center"/>
        <w:rPr>
          <w:rFonts w:eastAsia="Times New Roman" w:cstheme="minorHAnsi"/>
          <w:b/>
          <w:bCs/>
          <w:color w:val="000000"/>
        </w:rPr>
      </w:pPr>
      <w:r w:rsidRPr="00536624">
        <w:rPr>
          <w:rFonts w:eastAsia="Times New Roman" w:cstheme="minorHAnsi"/>
          <w:b/>
          <w:bCs/>
          <w:color w:val="000000"/>
        </w:rPr>
        <w:t>Neoficiali Teismo sprendimo apžvalga</w:t>
      </w:r>
    </w:p>
    <w:p w14:paraId="340A8AEB" w14:textId="77777777" w:rsidR="007E595E" w:rsidRPr="00536624" w:rsidRDefault="007E595E" w:rsidP="007E595E">
      <w:pPr>
        <w:pBdr>
          <w:top w:val="nil"/>
          <w:left w:val="nil"/>
          <w:bottom w:val="nil"/>
          <w:right w:val="nil"/>
          <w:between w:val="nil"/>
        </w:pBdr>
        <w:tabs>
          <w:tab w:val="left" w:pos="851"/>
        </w:tabs>
        <w:spacing w:after="0" w:line="240" w:lineRule="auto"/>
        <w:ind w:firstLine="567"/>
        <w:jc w:val="both"/>
        <w:rPr>
          <w:rFonts w:eastAsia="Times New Roman" w:cstheme="minorHAnsi"/>
          <w:color w:val="000000"/>
        </w:rPr>
      </w:pPr>
    </w:p>
    <w:p w14:paraId="13803888" w14:textId="77777777" w:rsidR="007E595E" w:rsidRDefault="007E595E" w:rsidP="007E595E">
      <w:pPr>
        <w:pBdr>
          <w:top w:val="nil"/>
          <w:left w:val="nil"/>
          <w:bottom w:val="nil"/>
          <w:right w:val="nil"/>
          <w:between w:val="nil"/>
        </w:pBdr>
        <w:tabs>
          <w:tab w:val="left" w:pos="851"/>
        </w:tabs>
        <w:spacing w:after="0" w:line="240" w:lineRule="auto"/>
        <w:ind w:firstLine="567"/>
        <w:jc w:val="both"/>
      </w:pPr>
      <w:r>
        <w:t xml:space="preserve">Teismas laikėsi pozicijos, kad draudimas </w:t>
      </w:r>
      <w:r w:rsidRPr="00D552F6">
        <w:t>pareiškėj</w:t>
      </w:r>
      <w:r>
        <w:t>ui atvykti</w:t>
      </w:r>
      <w:r w:rsidRPr="00D552F6">
        <w:t xml:space="preserve"> yra tiesiogiai susijęs su jo teise į saviraiškos laisvę, nes </w:t>
      </w:r>
      <w:r w:rsidRPr="0067143C">
        <w:rPr>
          <w:u w:val="single"/>
        </w:rPr>
        <w:t>Konvencijos 10 straipsnyje įtvirtintos teisės galioja „nepaisant sienų“ ir negalima skirtingai vertinti savo piliečių ir užsieniečių saviraiškos laisvės apsaugos</w:t>
      </w:r>
      <w:r w:rsidRPr="00D552F6">
        <w:t xml:space="preserve">. </w:t>
      </w:r>
      <w:r>
        <w:t>V</w:t>
      </w:r>
      <w:r w:rsidRPr="00D552F6">
        <w:t xml:space="preserve">alstybės narės gali riboti iš užsienio gautos informacijos sklaidą tik laikydamosi </w:t>
      </w:r>
      <w:r>
        <w:t xml:space="preserve">EŽTK </w:t>
      </w:r>
      <w:r w:rsidRPr="00D552F6">
        <w:t xml:space="preserve">10 straipsnio 2 dalyje numatytų </w:t>
      </w:r>
      <w:r>
        <w:t>sąlygų.</w:t>
      </w:r>
      <w:r w:rsidRPr="00D552F6">
        <w:t xml:space="preserve"> </w:t>
      </w:r>
      <w:r>
        <w:t>Taigi, p</w:t>
      </w:r>
      <w:r w:rsidRPr="00D552F6">
        <w:t>areiškėjui uždrau</w:t>
      </w:r>
      <w:r>
        <w:t>dus</w:t>
      </w:r>
      <w:r w:rsidRPr="00D552F6">
        <w:t xml:space="preserve"> atvykti į Lietuvą dėl jo pažiūrų, kuri</w:t>
      </w:r>
      <w:r>
        <w:t>as atskleidžia jo</w:t>
      </w:r>
      <w:r w:rsidRPr="00D552F6">
        <w:t xml:space="preserve"> elgesy</w:t>
      </w:r>
      <w:r>
        <w:t>s</w:t>
      </w:r>
      <w:r w:rsidRPr="00D552F6">
        <w:t>, jo galimybė skleisti informaciją ir idėjas šioje šalyje buvo apribota</w:t>
      </w:r>
      <w:r>
        <w:t>, todėl Teismas nagrinėjo, ar tai buvo padaryta laikantis Konvencijos 10 straipsnio 2 dalyje įtvirtintų reikalavimų</w:t>
      </w:r>
      <w:r w:rsidRPr="00D552F6">
        <w:t>.</w:t>
      </w:r>
    </w:p>
    <w:p w14:paraId="3905871C" w14:textId="77777777" w:rsidR="007E595E" w:rsidRDefault="007E595E" w:rsidP="007E595E">
      <w:pPr>
        <w:pBdr>
          <w:top w:val="nil"/>
          <w:left w:val="nil"/>
          <w:bottom w:val="nil"/>
          <w:right w:val="nil"/>
          <w:between w:val="nil"/>
        </w:pBdr>
        <w:tabs>
          <w:tab w:val="left" w:pos="851"/>
        </w:tabs>
        <w:spacing w:after="0" w:line="240" w:lineRule="auto"/>
        <w:ind w:firstLine="567"/>
        <w:jc w:val="both"/>
      </w:pPr>
      <w:r w:rsidRPr="00475DF3">
        <w:rPr>
          <w:u w:val="single"/>
        </w:rPr>
        <w:t>Teismas pirmiausia konstatavo, kad</w:t>
      </w:r>
      <w:r w:rsidRPr="00227A10">
        <w:rPr>
          <w:u w:val="single"/>
        </w:rPr>
        <w:t xml:space="preserve"> </w:t>
      </w:r>
      <w:r w:rsidRPr="00C427B2">
        <w:rPr>
          <w:u w:val="single"/>
        </w:rPr>
        <w:t>byloje nagrinėta priemonė buvo nustatyta nacionalinėje teisėje, kurios nuostatomis rėmėsi tiek Migracijos departamentas, tiek dviejų pakopų nacionaliniai teismai</w:t>
      </w:r>
      <w:r>
        <w:t>. EŽTT atsižvelgė į</w:t>
      </w:r>
      <w:r w:rsidRPr="003C33EF">
        <w:t xml:space="preserve"> Migracijos departamento paaiškinimą, kad apribojimas pareiškėjui</w:t>
      </w:r>
      <w:r>
        <w:t xml:space="preserve"> kaip</w:t>
      </w:r>
      <w:r w:rsidRPr="003C33EF">
        <w:t xml:space="preserve"> ES piliečiui atvykti į Lietuvą </w:t>
      </w:r>
      <w:r>
        <w:t>buvo nustatytas ir</w:t>
      </w:r>
      <w:r w:rsidRPr="003C33EF">
        <w:t xml:space="preserve"> </w:t>
      </w:r>
      <w:r>
        <w:t xml:space="preserve">nacionalinės teisės normoje, kuri perkelia ir įgyvendina </w:t>
      </w:r>
      <w:r w:rsidRPr="003C33EF">
        <w:t>Lietuvos įsipareigojimus pagal ES teisę, būtent, Direktyvą 2004/38/EB</w:t>
      </w:r>
      <w:r>
        <w:t xml:space="preserve">. Atkreiptas dėmesys ir į tai, kad pareiškėjo skundus nagrinėję nacionaliniai teismai procesiniuose sprendimuose nurodė, jog </w:t>
      </w:r>
      <w:r w:rsidRPr="00562FD2">
        <w:t>pagal Konvenciją valstybės nėra įpareigotos priimti teisės aktų, kurie išsamiai išvardytų visus veiksmus, galinčius paskatinti sprendimą išsiųsti asmenį dėl nacionalinio saugumo priežasčių, kadangi nacionalinio saugumo sąvoka negali būti išsamiai apibrėžta</w:t>
      </w:r>
      <w:r>
        <w:t xml:space="preserve">, o Lietuvos vyriausiasis administracinis teismas pabrėžė, kad </w:t>
      </w:r>
      <w:r w:rsidRPr="00562FD2">
        <w:t>sąvoka „galima grėsmė“ priklauso nuo konkrečių bylos aplinkybių</w:t>
      </w:r>
      <w:r>
        <w:t>. Tokie išaiškinimai, pasak EŽTT, dar labiau pagrindžia išvadą, kad pareiškėjo teisių, numatytų Konvencijos 10 straipsnyje, apribojimas turėjo teisinį pagrindą, suderinamą su teisinės valstybės principu.</w:t>
      </w:r>
    </w:p>
    <w:p w14:paraId="241CFE83" w14:textId="77777777" w:rsidR="007E595E" w:rsidRDefault="007E595E" w:rsidP="007E595E">
      <w:pPr>
        <w:pBdr>
          <w:top w:val="nil"/>
          <w:left w:val="nil"/>
          <w:bottom w:val="nil"/>
          <w:right w:val="nil"/>
          <w:between w:val="nil"/>
        </w:pBdr>
        <w:tabs>
          <w:tab w:val="left" w:pos="851"/>
        </w:tabs>
        <w:spacing w:after="0" w:line="240" w:lineRule="auto"/>
        <w:ind w:firstLine="567"/>
        <w:jc w:val="both"/>
      </w:pPr>
      <w:r>
        <w:t>P</w:t>
      </w:r>
      <w:r w:rsidRPr="00E610CF">
        <w:t>ripažin</w:t>
      </w:r>
      <w:r>
        <w:t>ęs</w:t>
      </w:r>
      <w:r w:rsidRPr="00E610CF">
        <w:t xml:space="preserve">, kad </w:t>
      </w:r>
      <w:r>
        <w:t xml:space="preserve">pareiškėjo teisės suvaržymu </w:t>
      </w:r>
      <w:r w:rsidRPr="00E610CF">
        <w:t>siek</w:t>
      </w:r>
      <w:r>
        <w:t>ta</w:t>
      </w:r>
      <w:r w:rsidRPr="00E610CF">
        <w:t xml:space="preserve"> vieno ar kelių teisėtų tikslų pagal Konvencijos 10 straipsnį, kurie, be kita ko, apima nacionalinį saugumą, visuomenės saugumą ir viešosios tvarkos prevenciją</w:t>
      </w:r>
      <w:r>
        <w:t xml:space="preserve">, Teismas toliau nagrinėjo priemonės proporcingumo klausimą. Šiuo tikslu EŽTT atkreipė dėmesį į </w:t>
      </w:r>
      <w:r w:rsidRPr="00226E56">
        <w:t xml:space="preserve">Migracijos departamento </w:t>
      </w:r>
      <w:r>
        <w:t>bei nacionalinių teismų poziciją</w:t>
      </w:r>
      <w:r w:rsidRPr="00226E56">
        <w:t xml:space="preserve">, kad Rusijos Federacija prieš Baltijos valstybes naudojo įvairias propagandos priemones, įskaitant televiziją, socialinius tinklus, filmus ir populiariosios muzikos atlikėjus, tokius kaip pareiškėjas, </w:t>
      </w:r>
      <w:r>
        <w:t>kuris,</w:t>
      </w:r>
      <w:r w:rsidRPr="00226E56">
        <w:t xml:space="preserve"> </w:t>
      </w:r>
      <w:r>
        <w:t xml:space="preserve">beje, </w:t>
      </w:r>
      <w:r w:rsidRPr="00226E56">
        <w:t>ne</w:t>
      </w:r>
      <w:r>
        <w:t xml:space="preserve">neigė esąs </w:t>
      </w:r>
      <w:r w:rsidRPr="00226E56">
        <w:t>Rusijos Federacijos „minkštosios galios“ įrankis</w:t>
      </w:r>
      <w:r>
        <w:t xml:space="preserve">; šiame kontekste pažymėta ir </w:t>
      </w:r>
      <w:r w:rsidRPr="00226E56">
        <w:t>2002 m. Seimo rezoliucij</w:t>
      </w:r>
      <w:r>
        <w:t>a</w:t>
      </w:r>
      <w:r w:rsidRPr="00226E56">
        <w:t>, kurioje tarp grėsmių nacionaliniam saugumui įvardytos informacinės grėsmės, įskaitant tam tikrų valstybių ir nevalstybinių veikėjų platinamą propagandą</w:t>
      </w:r>
      <w:r>
        <w:t xml:space="preserve">, bei </w:t>
      </w:r>
      <w:r w:rsidRPr="00226E56">
        <w:t>Europos Parlament</w:t>
      </w:r>
      <w:r>
        <w:t xml:space="preserve">o </w:t>
      </w:r>
      <w:r w:rsidRPr="00226E56">
        <w:lastRenderedPageBreak/>
        <w:t>pripažin</w:t>
      </w:r>
      <w:r>
        <w:t>tas</w:t>
      </w:r>
      <w:r w:rsidRPr="00226E56">
        <w:t xml:space="preserve"> poreik</w:t>
      </w:r>
      <w:r>
        <w:t>is</w:t>
      </w:r>
      <w:r w:rsidRPr="00226E56">
        <w:t xml:space="preserve"> atpažinti ir atskleisti Rusijos </w:t>
      </w:r>
      <w:r>
        <w:t xml:space="preserve">skleidžiamą </w:t>
      </w:r>
      <w:r w:rsidRPr="00226E56">
        <w:t>dezinformacij</w:t>
      </w:r>
      <w:r>
        <w:t>ą</w:t>
      </w:r>
      <w:r w:rsidRPr="00226E56">
        <w:t xml:space="preserve"> ir propagand</w:t>
      </w:r>
      <w:r>
        <w:t xml:space="preserve">ą, atkreiptas dėmesys, kad nagrinėdamas pareiškėjui taikytos priemonės būtinumo klausimą, Lietuvos vyriausiasis administracinis teismas rėmėsi Direktyvos </w:t>
      </w:r>
      <w:r w:rsidRPr="003C33EF">
        <w:t>2004/38/EB</w:t>
      </w:r>
      <w:r>
        <w:t xml:space="preserve"> normomis ir Europos Sąjungos Teisingumo Teismo praktika, kurioje aiškinama viešojo saugumo sąvoka. </w:t>
      </w:r>
      <w:r w:rsidRPr="000D3E7B">
        <w:rPr>
          <w:u w:val="single"/>
        </w:rPr>
        <w:t>Atsižvelgdamas į bylos faktus ir įvertindamas Europos Tarybos Parlamentinės Asamblėjos rezoliucijas, EŽTT nenustatė, kad Lietuvos valdžios institucijų sprendimas laikyti pareiškėją keliančiu realią ir esamą grėsmę nacionaliniam saugumui ir viešajai tvarkai, būtų buvęs savavališkas arba nepagrįstas.</w:t>
      </w:r>
      <w:r w:rsidRPr="0048020E">
        <w:t xml:space="preserve"> Kaip pažymėjo Migracijos departamentas ir patvirtino nacionaliniai teismai, pareiškėjas neprieštaravo faktams dėl savo paramos Rusijos Federacijos veiksmams Krymo pusiasalyje. Be to, nors pareiškėjas teigė, kad draudimas buvo priimtas kaip bendroji prevencijos priemonė, jo argumentą </w:t>
      </w:r>
      <w:r>
        <w:t xml:space="preserve">paneigė Lietuvos vyriausiasis administracinis </w:t>
      </w:r>
      <w:r w:rsidRPr="0048020E">
        <w:t>teismas, pabrėž</w:t>
      </w:r>
      <w:r>
        <w:t>ęs</w:t>
      </w:r>
      <w:r w:rsidRPr="0048020E">
        <w:t>, kad</w:t>
      </w:r>
      <w:r>
        <w:t xml:space="preserve"> </w:t>
      </w:r>
      <w:r w:rsidRPr="00553F36">
        <w:t xml:space="preserve">kiekvieno konkretaus užsieniečio situacija paprastai yra unikali, </w:t>
      </w:r>
      <w:r>
        <w:t>o</w:t>
      </w:r>
      <w:r w:rsidRPr="00553F36">
        <w:t xml:space="preserve"> sprendžiant dėl užsieniečio gyvenimo (buvimo) Lietuvoje pavojaus valstybės saugumui galimybės, atliekamas iš esmės perspektyvinis (į ateitį nukreiptas) vertinimas, tai</w:t>
      </w:r>
      <w:r>
        <w:t>gi</w:t>
      </w:r>
      <w:r w:rsidRPr="00553F36">
        <w:t xml:space="preserve"> tam tikras situacijos prognozavimas šiuo atveju yra neišvengiamas</w:t>
      </w:r>
      <w:r>
        <w:t xml:space="preserve">, bet </w:t>
      </w:r>
      <w:r w:rsidRPr="00553F36">
        <w:t>šis procesas turi būti paremtas faktais, ypač anksčiau atliktais asmens veiksmais, jų pobūdžiu; būtent jų pagrindu ir galima daryti išvadą, ar egzistuoja pakankamai reali ir akivaizdi grėsmės valstybės saugumui galimybė</w:t>
      </w:r>
      <w:r w:rsidRPr="0048020E">
        <w:t xml:space="preserve">. </w:t>
      </w:r>
      <w:r>
        <w:t>Nagrinėtu atveju p</w:t>
      </w:r>
      <w:r w:rsidRPr="0048020E">
        <w:t>areiškėj</w:t>
      </w:r>
      <w:r>
        <w:t>as</w:t>
      </w:r>
      <w:r w:rsidRPr="0048020E">
        <w:t xml:space="preserve"> iš esmės ne</w:t>
      </w:r>
      <w:r>
        <w:t xml:space="preserve">ginčijo </w:t>
      </w:r>
      <w:r w:rsidRPr="0048020E">
        <w:t xml:space="preserve">Užsienio reikalų ministerijos </w:t>
      </w:r>
      <w:r>
        <w:t>informacijos</w:t>
      </w:r>
      <w:r w:rsidRPr="0048020E">
        <w:t xml:space="preserve"> dėl koncertų okupuotame Kryme ar dėl to, kad jam buvo uždrausta įvažiuoti į Ukrainą.</w:t>
      </w:r>
      <w:r>
        <w:t xml:space="preserve"> </w:t>
      </w:r>
    </w:p>
    <w:p w14:paraId="075CAA0E" w14:textId="77777777" w:rsidR="007E595E" w:rsidRPr="00966357" w:rsidRDefault="007E595E" w:rsidP="007E595E">
      <w:pPr>
        <w:pBdr>
          <w:top w:val="nil"/>
          <w:left w:val="nil"/>
          <w:bottom w:val="nil"/>
          <w:right w:val="nil"/>
          <w:between w:val="nil"/>
        </w:pBdr>
        <w:tabs>
          <w:tab w:val="left" w:pos="851"/>
        </w:tabs>
        <w:spacing w:after="0" w:line="240" w:lineRule="auto"/>
        <w:ind w:firstLine="567"/>
        <w:jc w:val="both"/>
      </w:pPr>
      <w:r w:rsidRPr="00966357">
        <w:t xml:space="preserve">Apskritai, </w:t>
      </w:r>
      <w:r>
        <w:t xml:space="preserve">EŽTT požiūriu, </w:t>
      </w:r>
      <w:r w:rsidRPr="00C4299F">
        <w:rPr>
          <w:u w:val="single"/>
        </w:rPr>
        <w:t>byloje nebuvo jokių duomenų, suponuojančių, kad vertindami faktus, nacionaliniai teismai būtų padarę klaidų ar teisę būtų taikę savavališkai ar nepagrįstai; reikšminga ir tai, kad teismų sprendimai buvo priimti išklausius pareiškėjo poziciją</w:t>
      </w:r>
      <w:r w:rsidRPr="00966357">
        <w:t>.</w:t>
      </w:r>
      <w:r>
        <w:t xml:space="preserve"> </w:t>
      </w:r>
    </w:p>
    <w:p w14:paraId="08F492FC" w14:textId="77777777" w:rsidR="007E595E" w:rsidRPr="00966357" w:rsidRDefault="007E595E" w:rsidP="007E595E">
      <w:pPr>
        <w:pBdr>
          <w:top w:val="nil"/>
          <w:left w:val="nil"/>
          <w:bottom w:val="nil"/>
          <w:right w:val="nil"/>
          <w:between w:val="nil"/>
        </w:pBdr>
        <w:tabs>
          <w:tab w:val="left" w:pos="851"/>
        </w:tabs>
        <w:spacing w:after="0" w:line="240" w:lineRule="auto"/>
        <w:ind w:firstLine="567"/>
        <w:jc w:val="both"/>
      </w:pPr>
      <w:r w:rsidRPr="00966357">
        <w:t xml:space="preserve">Galiausiai, </w:t>
      </w:r>
      <w:r>
        <w:t xml:space="preserve">EŽTT palaikė </w:t>
      </w:r>
      <w:r w:rsidRPr="00966357">
        <w:t>nacionalini</w:t>
      </w:r>
      <w:r>
        <w:t xml:space="preserve">ų </w:t>
      </w:r>
      <w:r w:rsidRPr="00966357">
        <w:t>teism</w:t>
      </w:r>
      <w:r>
        <w:t>ų poziciją</w:t>
      </w:r>
      <w:r w:rsidRPr="00966357">
        <w:t>, kad</w:t>
      </w:r>
      <w:r>
        <w:t xml:space="preserve"> </w:t>
      </w:r>
      <w:r w:rsidRPr="00A200AB">
        <w:rPr>
          <w:u w:val="single"/>
        </w:rPr>
        <w:t>pareiškėjui taikytas draudimas nebuvo neproporcingas, nes buvo atsižvelgta į tai, kad jo kaip ES piliečio teisės buvo apribotos tik atvykimo į Lietuvą aspektu ir kad bet kuriuo atveju jis neturėjo šeiminių, socialinių ar ekonominių ryšių su šia šalimi</w:t>
      </w:r>
      <w:r w:rsidRPr="00966357">
        <w:t>.</w:t>
      </w:r>
    </w:p>
    <w:p w14:paraId="29B7945B" w14:textId="2FBCCFDE" w:rsidR="007E595E" w:rsidRDefault="007E595E" w:rsidP="007E595E">
      <w:pPr>
        <w:pBdr>
          <w:top w:val="nil"/>
          <w:left w:val="nil"/>
          <w:bottom w:val="nil"/>
          <w:right w:val="nil"/>
          <w:between w:val="nil"/>
        </w:pBdr>
        <w:tabs>
          <w:tab w:val="left" w:pos="851"/>
        </w:tabs>
        <w:spacing w:after="0" w:line="240" w:lineRule="auto"/>
        <w:ind w:firstLine="567"/>
        <w:jc w:val="both"/>
      </w:pPr>
      <w:r>
        <w:t xml:space="preserve">Išnagrinėjęs pareiškėjo skundo dalį dėl Konvencijos 1 protokolo 1 straipsnio pažeidimo, viena vertus, Teismas pripažino, kad </w:t>
      </w:r>
      <w:r w:rsidRPr="008F672F">
        <w:t>atsižvelgiant į faktą, jog pareiškėjui buvo uždrausta atvykti į Lietuvą koncertuoti, gali kilti tam tikrų abejonių, ar pareiškėjas galėjo turėti „teisėtą lūkestį“, kuriam būtų taikomas Konvencijos 1 Protokolo 1 straipsnis, ir dėl to taip pat, ar šiuo atveju taikytinas ir Konvencijos 14 straipsnis</w:t>
      </w:r>
      <w:r>
        <w:t xml:space="preserve"> (d</w:t>
      </w:r>
      <w:r w:rsidRPr="00C30D7E">
        <w:t>iskriminacijos uždraudimas</w:t>
      </w:r>
      <w:r>
        <w:t>)</w:t>
      </w:r>
      <w:r w:rsidRPr="00180A57">
        <w:t xml:space="preserve">. </w:t>
      </w:r>
      <w:r>
        <w:t>Kita vertus, Teismas pastebėjo</w:t>
      </w:r>
      <w:r w:rsidRPr="00180A57">
        <w:t xml:space="preserve">, kad pareiškėjas nepateikė ieškinio dėl žalos atlyginimo Lietuvos civiliniuose teismuose – teisinės gynybos priemonės, kuria jis galėjo pasinaudoti pagal Lietuvos įstatymus, jei būtų manęs, kad tokia žala jam buvo padaryta dėl Lietuvos valdžios sprendimo uždrausti jam atvykti į šalį. </w:t>
      </w:r>
      <w:r>
        <w:t xml:space="preserve">Atsižvelgęs į tai, EŽTT </w:t>
      </w:r>
      <w:r w:rsidRPr="00180A57">
        <w:t>ši</w:t>
      </w:r>
      <w:r>
        <w:t>ą</w:t>
      </w:r>
      <w:r w:rsidRPr="00180A57">
        <w:t xml:space="preserve"> skund</w:t>
      </w:r>
      <w:r>
        <w:t>o</w:t>
      </w:r>
      <w:r w:rsidRPr="00180A57">
        <w:t xml:space="preserve"> </w:t>
      </w:r>
      <w:r>
        <w:t>dalį</w:t>
      </w:r>
      <w:r w:rsidRPr="00180A57">
        <w:t xml:space="preserve"> pripažin</w:t>
      </w:r>
      <w:r>
        <w:t>o</w:t>
      </w:r>
      <w:r w:rsidRPr="00180A57">
        <w:t xml:space="preserve"> nepriimtin</w:t>
      </w:r>
      <w:r>
        <w:t>a</w:t>
      </w:r>
      <w:r w:rsidRPr="00180A57">
        <w:t xml:space="preserve"> dėl to, kad nebuvo išnaudotos visos vidaus teisinės gynybos priemonės, kaip numatyta Konvencijos 35 straipsnio 1 dalyje.</w:t>
      </w:r>
    </w:p>
    <w:p w14:paraId="25A8F9AB" w14:textId="77777777" w:rsidR="007E595E" w:rsidRDefault="007E595E" w:rsidP="007E595E">
      <w:pPr>
        <w:pBdr>
          <w:top w:val="nil"/>
          <w:left w:val="nil"/>
          <w:bottom w:val="nil"/>
          <w:right w:val="nil"/>
          <w:between w:val="nil"/>
        </w:pBdr>
        <w:tabs>
          <w:tab w:val="left" w:pos="851"/>
        </w:tabs>
        <w:spacing w:after="0" w:line="240" w:lineRule="auto"/>
        <w:ind w:firstLine="567"/>
        <w:jc w:val="both"/>
      </w:pPr>
    </w:p>
    <w:p w14:paraId="02C3337D" w14:textId="51FBCC21" w:rsidR="007E595E" w:rsidRDefault="007E595E" w:rsidP="007E595E">
      <w:pPr>
        <w:spacing w:after="0" w:line="240" w:lineRule="auto"/>
        <w:ind w:firstLine="567"/>
        <w:jc w:val="both"/>
        <w:rPr>
          <w:rFonts w:cstheme="minorHAnsi"/>
        </w:rPr>
      </w:pPr>
      <w:r w:rsidRPr="00536624">
        <w:rPr>
          <w:rFonts w:cstheme="minorHAnsi"/>
        </w:rPr>
        <w:t>Išvad</w:t>
      </w:r>
      <w:r>
        <w:rPr>
          <w:rFonts w:cstheme="minorHAnsi"/>
        </w:rPr>
        <w:t>a</w:t>
      </w:r>
      <w:r w:rsidRPr="00536624">
        <w:rPr>
          <w:rFonts w:cstheme="minorHAnsi"/>
        </w:rPr>
        <w:t>:</w:t>
      </w:r>
      <w:r>
        <w:rPr>
          <w:rFonts w:cstheme="minorHAnsi"/>
        </w:rPr>
        <w:t xml:space="preserve"> </w:t>
      </w:r>
      <w:r w:rsidR="005B2B4C">
        <w:rPr>
          <w:rFonts w:cstheme="minorHAnsi"/>
        </w:rPr>
        <w:t xml:space="preserve">balsų dauguma </w:t>
      </w:r>
      <w:r>
        <w:rPr>
          <w:rFonts w:cstheme="minorHAnsi"/>
        </w:rPr>
        <w:t xml:space="preserve">skundas </w:t>
      </w:r>
      <w:r w:rsidR="005B2B4C">
        <w:rPr>
          <w:rFonts w:cstheme="minorHAnsi"/>
        </w:rPr>
        <w:t xml:space="preserve">pripažintas </w:t>
      </w:r>
      <w:r>
        <w:rPr>
          <w:rFonts w:cstheme="minorHAnsi"/>
        </w:rPr>
        <w:t>nepriimtin</w:t>
      </w:r>
      <w:r w:rsidR="005B2B4C">
        <w:rPr>
          <w:rFonts w:cstheme="minorHAnsi"/>
        </w:rPr>
        <w:t>u</w:t>
      </w:r>
      <w:r>
        <w:rPr>
          <w:rFonts w:cstheme="minorHAnsi"/>
        </w:rPr>
        <w:t xml:space="preserve">. </w:t>
      </w:r>
    </w:p>
    <w:p w14:paraId="159B0061" w14:textId="77777777" w:rsidR="007E595E" w:rsidRPr="00305CD1" w:rsidRDefault="007E595E" w:rsidP="007E595E">
      <w:pPr>
        <w:spacing w:after="0" w:line="240" w:lineRule="auto"/>
        <w:ind w:firstLine="567"/>
        <w:jc w:val="both"/>
        <w:rPr>
          <w:rStyle w:val="Hipersaitas"/>
          <w:rFonts w:cstheme="minorHAnsi"/>
        </w:rPr>
      </w:pPr>
      <w:r>
        <w:rPr>
          <w:rFonts w:cstheme="minorHAnsi"/>
          <w:color w:val="0000FF"/>
          <w:u w:val="single"/>
        </w:rPr>
        <w:fldChar w:fldCharType="begin"/>
      </w:r>
      <w:r>
        <w:rPr>
          <w:rFonts w:cstheme="minorHAnsi"/>
          <w:color w:val="0000FF"/>
          <w:u w:val="single"/>
        </w:rPr>
        <w:instrText>HYPERLINK "https://hudoc.echr.coe.int/" \l "{%22fulltext%22:[%2212174/22%22],%22itemid%22:[%22001-233417%22]}"</w:instrText>
      </w:r>
      <w:r>
        <w:rPr>
          <w:rFonts w:cstheme="minorHAnsi"/>
          <w:color w:val="0000FF"/>
          <w:u w:val="single"/>
        </w:rPr>
      </w:r>
      <w:r>
        <w:rPr>
          <w:rFonts w:cstheme="minorHAnsi"/>
          <w:color w:val="0000FF"/>
          <w:u w:val="single"/>
        </w:rPr>
        <w:fldChar w:fldCharType="separate"/>
      </w:r>
      <w:r w:rsidRPr="00305CD1">
        <w:rPr>
          <w:rStyle w:val="Hipersaitas"/>
          <w:rFonts w:cstheme="minorHAnsi"/>
        </w:rPr>
        <w:t>Prieiga internete</w:t>
      </w:r>
    </w:p>
    <w:p w14:paraId="766A4508" w14:textId="77777777" w:rsidR="007E595E" w:rsidRPr="00A3756E" w:rsidRDefault="007E595E" w:rsidP="007E595E">
      <w:pPr>
        <w:pBdr>
          <w:top w:val="nil"/>
          <w:left w:val="nil"/>
          <w:bottom w:val="nil"/>
          <w:right w:val="nil"/>
          <w:between w:val="nil"/>
        </w:pBdr>
        <w:tabs>
          <w:tab w:val="left" w:pos="851"/>
        </w:tabs>
        <w:spacing w:after="0" w:line="240" w:lineRule="auto"/>
        <w:ind w:firstLine="567"/>
        <w:jc w:val="both"/>
        <w:rPr>
          <w:rFonts w:cstheme="minorHAnsi"/>
          <w:u w:val="single"/>
        </w:rPr>
      </w:pPr>
      <w:r>
        <w:rPr>
          <w:rFonts w:cstheme="minorHAnsi"/>
          <w:color w:val="0000FF"/>
          <w:u w:val="single"/>
        </w:rPr>
        <w:fldChar w:fldCharType="end"/>
      </w:r>
    </w:p>
    <w:p w14:paraId="215C0363" w14:textId="77777777" w:rsidR="00531389" w:rsidRPr="00FE3045" w:rsidRDefault="00531389" w:rsidP="0053138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FE3045">
        <w:rPr>
          <w:rFonts w:ascii="Calibri" w:eastAsia="Times New Roman" w:hAnsi="Calibri" w:cs="Calibri"/>
          <w:b/>
        </w:rPr>
        <w:t xml:space="preserve">Europos Žmogaus Teisių </w:t>
      </w:r>
      <w:r w:rsidRPr="00411045">
        <w:rPr>
          <w:rFonts w:ascii="Calibri" w:eastAsia="Times New Roman" w:hAnsi="Calibri" w:cs="Calibri"/>
          <w:b/>
        </w:rPr>
        <w:t xml:space="preserve">Teismo </w:t>
      </w:r>
      <w:r w:rsidRPr="00FE3045">
        <w:rPr>
          <w:rFonts w:ascii="Calibri" w:eastAsia="Times New Roman" w:hAnsi="Calibri" w:cs="Calibri"/>
          <w:b/>
        </w:rPr>
        <w:t>202</w:t>
      </w:r>
      <w:r>
        <w:rPr>
          <w:rFonts w:ascii="Calibri" w:eastAsia="Times New Roman" w:hAnsi="Calibri" w:cs="Calibri"/>
          <w:b/>
        </w:rPr>
        <w:t>4</w:t>
      </w:r>
      <w:r w:rsidRPr="00FE3045">
        <w:rPr>
          <w:rFonts w:ascii="Calibri" w:eastAsia="Times New Roman" w:hAnsi="Calibri" w:cs="Calibri"/>
          <w:b/>
        </w:rPr>
        <w:t xml:space="preserve"> m. </w:t>
      </w:r>
      <w:r>
        <w:rPr>
          <w:rFonts w:ascii="Calibri" w:eastAsia="Times New Roman" w:hAnsi="Calibri" w:cs="Calibri"/>
          <w:b/>
        </w:rPr>
        <w:t>kovo 19</w:t>
      </w:r>
      <w:r w:rsidRPr="00FE3045">
        <w:rPr>
          <w:rFonts w:ascii="Calibri" w:eastAsia="Times New Roman" w:hAnsi="Calibri" w:cs="Calibri"/>
          <w:b/>
        </w:rPr>
        <w:t xml:space="preserve"> d. sprendimas byloje</w:t>
      </w:r>
    </w:p>
    <w:p w14:paraId="61FA9F2A" w14:textId="77777777" w:rsidR="00531389" w:rsidRPr="00FE3045" w:rsidRDefault="00531389" w:rsidP="00531389">
      <w:pPr>
        <w:keepNext/>
        <w:keepLines/>
        <w:spacing w:after="0" w:line="240" w:lineRule="auto"/>
        <w:jc w:val="center"/>
        <w:outlineLvl w:val="1"/>
        <w:rPr>
          <w:rFonts w:ascii="Calibri" w:eastAsia="Times New Roman" w:hAnsi="Calibri" w:cs="Times New Roman"/>
          <w:b/>
          <w:bCs/>
          <w:i/>
          <w:iCs/>
          <w:color w:val="2E74B5"/>
        </w:rPr>
      </w:pPr>
      <w:bookmarkStart w:id="33" w:name="_Toc181709501"/>
      <w:r w:rsidRPr="00641734">
        <w:rPr>
          <w:rFonts w:ascii="Calibri" w:eastAsia="Times New Roman" w:hAnsi="Calibri" w:cs="Times New Roman"/>
          <w:b/>
          <w:bCs/>
          <w:i/>
          <w:iCs/>
          <w:color w:val="2E74B5"/>
        </w:rPr>
        <w:t>Almeida Arroja</w:t>
      </w:r>
      <w:r>
        <w:rPr>
          <w:rFonts w:ascii="Calibri" w:eastAsia="Times New Roman" w:hAnsi="Calibri" w:cs="Times New Roman"/>
          <w:b/>
          <w:bCs/>
          <w:i/>
          <w:iCs/>
          <w:color w:val="2E74B5"/>
        </w:rPr>
        <w:t xml:space="preserve"> </w:t>
      </w:r>
      <w:r w:rsidRPr="00FE3045">
        <w:rPr>
          <w:rFonts w:ascii="Calibri" w:eastAsia="Times New Roman" w:hAnsi="Calibri" w:cs="Times New Roman"/>
          <w:b/>
          <w:bCs/>
          <w:i/>
          <w:iCs/>
          <w:color w:val="2E74B5"/>
        </w:rPr>
        <w:t xml:space="preserve">prieš </w:t>
      </w:r>
      <w:r>
        <w:rPr>
          <w:rFonts w:ascii="Calibri" w:eastAsia="Times New Roman" w:hAnsi="Calibri" w:cs="Times New Roman"/>
          <w:b/>
          <w:bCs/>
          <w:i/>
          <w:iCs/>
          <w:color w:val="2E74B5"/>
        </w:rPr>
        <w:t>Portugalij</w:t>
      </w:r>
      <w:r w:rsidRPr="00FE3045">
        <w:rPr>
          <w:rFonts w:ascii="Calibri" w:eastAsia="Times New Roman" w:hAnsi="Calibri" w:cs="Times New Roman"/>
          <w:b/>
          <w:bCs/>
          <w:i/>
          <w:iCs/>
          <w:color w:val="2E74B5"/>
        </w:rPr>
        <w:t>ą</w:t>
      </w:r>
      <w:bookmarkEnd w:id="33"/>
    </w:p>
    <w:p w14:paraId="66B902EB" w14:textId="21116D34" w:rsidR="00531389" w:rsidRPr="00FE3045" w:rsidRDefault="00531389" w:rsidP="00531389">
      <w:pPr>
        <w:pBdr>
          <w:top w:val="nil"/>
          <w:left w:val="nil"/>
          <w:bottom w:val="nil"/>
          <w:right w:val="nil"/>
          <w:between w:val="nil"/>
        </w:pBdr>
        <w:tabs>
          <w:tab w:val="left" w:pos="851"/>
        </w:tabs>
        <w:spacing w:after="0" w:line="240" w:lineRule="auto"/>
        <w:ind w:right="-1"/>
        <w:jc w:val="center"/>
        <w:rPr>
          <w:rFonts w:ascii="Calibri" w:eastAsia="Times New Roman" w:hAnsi="Calibri" w:cs="Calibri"/>
          <w:b/>
        </w:rPr>
      </w:pPr>
      <w:r w:rsidRPr="00FE3045">
        <w:rPr>
          <w:rFonts w:ascii="Calibri" w:eastAsia="Times New Roman" w:hAnsi="Calibri" w:cs="Calibri"/>
          <w:b/>
        </w:rPr>
        <w:t>(pareiškim</w:t>
      </w:r>
      <w:r>
        <w:rPr>
          <w:rFonts w:ascii="Calibri" w:eastAsia="Times New Roman" w:hAnsi="Calibri" w:cs="Calibri"/>
          <w:b/>
        </w:rPr>
        <w:t>o</w:t>
      </w:r>
      <w:r w:rsidRPr="00FE3045">
        <w:rPr>
          <w:rFonts w:ascii="Calibri" w:eastAsia="Times New Roman" w:hAnsi="Calibri" w:cs="Calibri"/>
          <w:b/>
        </w:rPr>
        <w:t xml:space="preserve"> Nr. </w:t>
      </w:r>
      <w:r>
        <w:rPr>
          <w:rFonts w:ascii="Calibri" w:eastAsia="Times New Roman" w:hAnsi="Calibri" w:cs="Calibri"/>
          <w:b/>
        </w:rPr>
        <w:t>47238</w:t>
      </w:r>
      <w:r w:rsidRPr="00AD60C8">
        <w:rPr>
          <w:rFonts w:ascii="Calibri" w:eastAsia="Times New Roman" w:hAnsi="Calibri" w:cs="Calibri"/>
          <w:b/>
        </w:rPr>
        <w:t>/</w:t>
      </w:r>
      <w:r>
        <w:rPr>
          <w:rFonts w:ascii="Calibri" w:eastAsia="Times New Roman" w:hAnsi="Calibri" w:cs="Calibri"/>
          <w:b/>
        </w:rPr>
        <w:t>19</w:t>
      </w:r>
      <w:r w:rsidRPr="00FE3045">
        <w:rPr>
          <w:rFonts w:ascii="Calibri" w:eastAsia="Times New Roman" w:hAnsi="Calibri" w:cs="Calibri"/>
          <w:b/>
        </w:rPr>
        <w:t xml:space="preserve">, svarbos lygis – </w:t>
      </w:r>
      <w:r>
        <w:rPr>
          <w:rFonts w:ascii="Calibri" w:eastAsia="Times New Roman" w:hAnsi="Calibri" w:cs="Calibri"/>
          <w:b/>
        </w:rPr>
        <w:t>2</w:t>
      </w:r>
      <w:r w:rsidRPr="00FE3045">
        <w:rPr>
          <w:rFonts w:ascii="Calibri" w:eastAsia="Times New Roman" w:hAnsi="Calibri" w:cs="Calibri"/>
          <w:b/>
        </w:rPr>
        <w:t>)</w:t>
      </w:r>
    </w:p>
    <w:p w14:paraId="62B1EA74" w14:textId="77777777" w:rsidR="00531389" w:rsidRPr="002362C5" w:rsidRDefault="00531389" w:rsidP="00531389">
      <w:pPr>
        <w:pBdr>
          <w:top w:val="nil"/>
          <w:left w:val="nil"/>
          <w:bottom w:val="nil"/>
          <w:right w:val="nil"/>
          <w:between w:val="nil"/>
        </w:pBdr>
        <w:tabs>
          <w:tab w:val="left" w:pos="851"/>
        </w:tabs>
        <w:spacing w:after="0" w:line="240" w:lineRule="auto"/>
        <w:ind w:right="-1"/>
        <w:rPr>
          <w:rFonts w:ascii="Calibri" w:eastAsia="Times New Roman" w:hAnsi="Calibri" w:cs="Calibri"/>
          <w:color w:val="000000"/>
          <w:highlight w:val="yellow"/>
        </w:rPr>
      </w:pPr>
    </w:p>
    <w:p w14:paraId="5E7C525C" w14:textId="77777777" w:rsidR="00531389" w:rsidRPr="00C934D3" w:rsidRDefault="00531389" w:rsidP="00531389">
      <w:pPr>
        <w:keepNext/>
        <w:keepLines/>
        <w:spacing w:after="0" w:line="240" w:lineRule="auto"/>
        <w:ind w:firstLine="567"/>
        <w:jc w:val="both"/>
        <w:outlineLvl w:val="2"/>
        <w:rPr>
          <w:rFonts w:ascii="Calibri" w:eastAsia="Times New Roman" w:hAnsi="Calibri" w:cs="Times New Roman"/>
          <w:i/>
          <w:szCs w:val="24"/>
        </w:rPr>
      </w:pPr>
      <w:bookmarkStart w:id="34" w:name="_Toc181709502"/>
      <w:r w:rsidRPr="00C934D3">
        <w:rPr>
          <w:rFonts w:ascii="Calibri" w:eastAsia="Times New Roman" w:hAnsi="Calibri" w:cs="Times New Roman"/>
          <w:i/>
          <w:szCs w:val="24"/>
        </w:rPr>
        <w:t>Dėl</w:t>
      </w:r>
      <w:r>
        <w:rPr>
          <w:rFonts w:ascii="Calibri" w:eastAsia="Times New Roman" w:hAnsi="Calibri" w:cs="Times New Roman"/>
          <w:i/>
          <w:szCs w:val="24"/>
        </w:rPr>
        <w:t xml:space="preserve"> televizinės diskusijos metu išsakytos kritikos konsultacijas teikiančiai advokatų kontorai ir jos vadovui</w:t>
      </w:r>
      <w:bookmarkEnd w:id="34"/>
    </w:p>
    <w:p w14:paraId="627074AD" w14:textId="77777777" w:rsidR="00531389" w:rsidRPr="00C934D3" w:rsidRDefault="00531389" w:rsidP="00531389">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rPr>
      </w:pPr>
    </w:p>
    <w:p w14:paraId="0F390836" w14:textId="77777777" w:rsidR="00531389" w:rsidRPr="00C934D3" w:rsidRDefault="00531389" w:rsidP="00531389">
      <w:pPr>
        <w:pBdr>
          <w:top w:val="nil"/>
          <w:left w:val="nil"/>
          <w:bottom w:val="nil"/>
          <w:right w:val="nil"/>
          <w:between w:val="nil"/>
        </w:pBdr>
        <w:tabs>
          <w:tab w:val="left" w:pos="851"/>
        </w:tabs>
        <w:spacing w:after="0" w:line="240" w:lineRule="auto"/>
        <w:ind w:right="-1"/>
        <w:jc w:val="center"/>
        <w:rPr>
          <w:rFonts w:ascii="Calibri" w:eastAsia="Times New Roman" w:hAnsi="Calibri" w:cs="Calibri"/>
          <w:b/>
          <w:bCs/>
          <w:color w:val="000000"/>
        </w:rPr>
      </w:pPr>
      <w:r w:rsidRPr="00C934D3">
        <w:rPr>
          <w:rFonts w:ascii="Calibri" w:eastAsia="Times New Roman" w:hAnsi="Calibri" w:cs="Calibri"/>
          <w:b/>
          <w:bCs/>
          <w:color w:val="000000"/>
        </w:rPr>
        <w:t>Faktinės aplinkybės</w:t>
      </w:r>
    </w:p>
    <w:p w14:paraId="19FCC0A8" w14:textId="77777777" w:rsidR="00531389" w:rsidRPr="002362C5" w:rsidRDefault="00531389" w:rsidP="00531389">
      <w:pPr>
        <w:pBdr>
          <w:top w:val="nil"/>
          <w:left w:val="nil"/>
          <w:bottom w:val="nil"/>
          <w:right w:val="nil"/>
          <w:between w:val="nil"/>
        </w:pBdr>
        <w:tabs>
          <w:tab w:val="left" w:pos="851"/>
        </w:tabs>
        <w:spacing w:after="0" w:line="240" w:lineRule="auto"/>
        <w:ind w:right="-1" w:firstLine="567"/>
        <w:jc w:val="both"/>
        <w:rPr>
          <w:rFonts w:ascii="Calibri" w:eastAsia="Times New Roman" w:hAnsi="Calibri" w:cs="Calibri"/>
          <w:color w:val="000000"/>
          <w:highlight w:val="yellow"/>
        </w:rPr>
      </w:pPr>
    </w:p>
    <w:p w14:paraId="1077B9FC" w14:textId="77777777" w:rsidR="00531389" w:rsidRDefault="00531389" w:rsidP="00531389">
      <w:pPr>
        <w:spacing w:after="0" w:line="240" w:lineRule="auto"/>
        <w:ind w:firstLine="567"/>
        <w:jc w:val="both"/>
        <w:rPr>
          <w:rFonts w:ascii="Calibri" w:eastAsia="Times New Roman" w:hAnsi="Calibri" w:cs="Calibri"/>
          <w:color w:val="000000"/>
        </w:rPr>
      </w:pPr>
      <w:r>
        <w:rPr>
          <w:rFonts w:ascii="Calibri" w:eastAsia="Times New Roman" w:hAnsi="Calibri" w:cs="Calibri"/>
          <w:color w:val="000000"/>
        </w:rPr>
        <w:t xml:space="preserve">Pareiškėjas (ekonomistas, universiteto profesorius ir politikos komentatorius komercinėje televizijoje) televizinės diskusijos apie ligoninės remontą ir su juo susijusius sunkumus metu prabilo apie </w:t>
      </w:r>
      <w:r w:rsidRPr="00007E9C">
        <w:rPr>
          <w:rFonts w:ascii="Calibri" w:eastAsia="Times New Roman" w:hAnsi="Calibri" w:cs="Calibri"/>
          <w:color w:val="000000"/>
        </w:rPr>
        <w:t xml:space="preserve">politinius interesus, kuriais </w:t>
      </w:r>
      <w:r>
        <w:rPr>
          <w:rFonts w:ascii="Calibri" w:eastAsia="Times New Roman" w:hAnsi="Calibri" w:cs="Calibri"/>
          <w:color w:val="000000"/>
        </w:rPr>
        <w:t xml:space="preserve">esą </w:t>
      </w:r>
      <w:r w:rsidRPr="00007E9C">
        <w:rPr>
          <w:rFonts w:ascii="Calibri" w:eastAsia="Times New Roman" w:hAnsi="Calibri" w:cs="Calibri"/>
          <w:color w:val="000000"/>
        </w:rPr>
        <w:t xml:space="preserve">grindžiamos teisinės konsultacijos, </w:t>
      </w:r>
      <w:r>
        <w:rPr>
          <w:rFonts w:ascii="Calibri" w:eastAsia="Times New Roman" w:hAnsi="Calibri" w:cs="Calibri"/>
          <w:color w:val="000000"/>
        </w:rPr>
        <w:t xml:space="preserve">ligoninei teiktos konkrečios advokatų kontoros; t. y. </w:t>
      </w:r>
      <w:r w:rsidRPr="00007E9C">
        <w:rPr>
          <w:rFonts w:ascii="Calibri" w:eastAsia="Times New Roman" w:hAnsi="Calibri" w:cs="Calibri"/>
          <w:color w:val="000000"/>
        </w:rPr>
        <w:t xml:space="preserve">jis </w:t>
      </w:r>
      <w:r>
        <w:rPr>
          <w:rFonts w:ascii="Calibri" w:eastAsia="Times New Roman" w:hAnsi="Calibri" w:cs="Calibri"/>
          <w:color w:val="000000"/>
        </w:rPr>
        <w:t>su</w:t>
      </w:r>
      <w:r w:rsidRPr="00007E9C">
        <w:rPr>
          <w:rFonts w:ascii="Calibri" w:eastAsia="Times New Roman" w:hAnsi="Calibri" w:cs="Calibri"/>
          <w:color w:val="000000"/>
        </w:rPr>
        <w:t>kritikavo advokatą</w:t>
      </w:r>
      <w:r>
        <w:rPr>
          <w:rFonts w:ascii="Calibri" w:eastAsia="Times New Roman" w:hAnsi="Calibri" w:cs="Calibri"/>
          <w:color w:val="000000"/>
        </w:rPr>
        <w:t>,</w:t>
      </w:r>
      <w:r w:rsidRPr="00007E9C">
        <w:rPr>
          <w:rFonts w:ascii="Calibri" w:eastAsia="Times New Roman" w:hAnsi="Calibri" w:cs="Calibri"/>
          <w:color w:val="000000"/>
        </w:rPr>
        <w:t xml:space="preserve"> tuo metu </w:t>
      </w:r>
      <w:r>
        <w:rPr>
          <w:rFonts w:ascii="Calibri" w:eastAsia="Times New Roman" w:hAnsi="Calibri" w:cs="Calibri"/>
          <w:color w:val="000000"/>
        </w:rPr>
        <w:t>vadovavusį kontorai,</w:t>
      </w:r>
      <w:r w:rsidRPr="00007E9C">
        <w:rPr>
          <w:rFonts w:ascii="Calibri" w:eastAsia="Times New Roman" w:hAnsi="Calibri" w:cs="Calibri"/>
          <w:color w:val="000000"/>
        </w:rPr>
        <w:t xml:space="preserve"> kuris buvo žinomas politikas bei Europos Parlamento narys</w:t>
      </w:r>
      <w:r>
        <w:rPr>
          <w:rFonts w:ascii="Calibri" w:eastAsia="Times New Roman" w:hAnsi="Calibri" w:cs="Calibri"/>
          <w:color w:val="000000"/>
        </w:rPr>
        <w:t>, dėl trukdymo projektui. Vadovas ir kontora kreipėsi į prokuratūrą dėl esą melagingų kaltinimų, pakenkusių kontoros prestižui ir vadovo garbei. Teismai pareiškėjui paskyrė 7 000 Eur baudą ir nurodė atlyginti padarytą žalą (5 000 Eur kontorai ir 10 000 Eur jos vadovui).</w:t>
      </w:r>
    </w:p>
    <w:p w14:paraId="5C26C0ED" w14:textId="77777777" w:rsidR="00531389" w:rsidRPr="00D677B8" w:rsidRDefault="00531389" w:rsidP="00531389">
      <w:pPr>
        <w:spacing w:after="0" w:line="240" w:lineRule="auto"/>
        <w:ind w:firstLine="567"/>
        <w:jc w:val="both"/>
        <w:rPr>
          <w:rFonts w:ascii="Calibri" w:eastAsia="Times New Roman" w:hAnsi="Calibri" w:cs="Calibri"/>
          <w:color w:val="000000"/>
        </w:rPr>
      </w:pPr>
      <w:r>
        <w:rPr>
          <w:rFonts w:ascii="Calibri" w:eastAsia="Times New Roman" w:hAnsi="Calibri" w:cs="Calibri"/>
          <w:color w:val="000000"/>
        </w:rPr>
        <w:t>Pareiškėjas kreipėsi į EŽTT dėl Konvencijos 10 straipsnio pažeidimo.</w:t>
      </w:r>
    </w:p>
    <w:p w14:paraId="55C42FC5" w14:textId="77777777" w:rsidR="00531389" w:rsidRPr="002362C5" w:rsidRDefault="00531389" w:rsidP="00531389">
      <w:pPr>
        <w:spacing w:after="0" w:line="240" w:lineRule="auto"/>
        <w:ind w:right="-1" w:firstLine="567"/>
        <w:jc w:val="both"/>
        <w:rPr>
          <w:rFonts w:ascii="Calibri" w:eastAsia="Calibri" w:hAnsi="Calibri" w:cs="Calibri"/>
          <w:highlight w:val="yellow"/>
        </w:rPr>
      </w:pPr>
    </w:p>
    <w:p w14:paraId="62697314" w14:textId="77777777" w:rsidR="00531389" w:rsidRPr="00B76C8C" w:rsidRDefault="00531389" w:rsidP="00531389">
      <w:pPr>
        <w:shd w:val="clear" w:color="auto" w:fill="FFFFFF"/>
        <w:spacing w:after="0" w:line="240" w:lineRule="auto"/>
        <w:ind w:right="-1"/>
        <w:jc w:val="center"/>
        <w:rPr>
          <w:rFonts w:ascii="Calibri" w:eastAsia="Times New Roman" w:hAnsi="Calibri" w:cs="Calibri"/>
          <w:b/>
          <w:bCs/>
          <w:color w:val="000000"/>
        </w:rPr>
      </w:pPr>
      <w:r w:rsidRPr="00B76C8C">
        <w:rPr>
          <w:rFonts w:ascii="Calibri" w:eastAsia="Times New Roman" w:hAnsi="Calibri" w:cs="Calibri"/>
          <w:b/>
          <w:bCs/>
          <w:color w:val="000000"/>
        </w:rPr>
        <w:lastRenderedPageBreak/>
        <w:t>Neoficiali Teismo sprendimo apžvalga</w:t>
      </w:r>
    </w:p>
    <w:p w14:paraId="0270B04B" w14:textId="77777777" w:rsidR="00531389" w:rsidRPr="002362C5" w:rsidRDefault="00531389" w:rsidP="00531389">
      <w:pPr>
        <w:spacing w:after="0" w:line="240" w:lineRule="auto"/>
        <w:ind w:right="-1" w:firstLine="567"/>
        <w:jc w:val="both"/>
        <w:rPr>
          <w:rFonts w:ascii="Calibri" w:eastAsia="Calibri" w:hAnsi="Calibri" w:cs="Calibri"/>
          <w:highlight w:val="yellow"/>
        </w:rPr>
      </w:pPr>
    </w:p>
    <w:p w14:paraId="3827E18C" w14:textId="77777777" w:rsidR="00531389" w:rsidRDefault="00531389" w:rsidP="00531389">
      <w:pPr>
        <w:spacing w:after="0" w:line="240" w:lineRule="auto"/>
        <w:ind w:firstLine="567"/>
        <w:jc w:val="both"/>
        <w:rPr>
          <w:rFonts w:ascii="Calibri" w:eastAsia="Calibri" w:hAnsi="Calibri" w:cs="Calibri"/>
        </w:rPr>
      </w:pPr>
      <w:r>
        <w:rPr>
          <w:rFonts w:ascii="Calibri" w:eastAsia="Calibri" w:hAnsi="Calibri" w:cs="Calibri"/>
        </w:rPr>
        <w:t xml:space="preserve">Sutikęs su pritaikyto ribojimo tikslo teisėtumu – apsaugoti kitų asmenų reputaciją, – EŽTT pasitelkė pusiausvyros vertinimo testą, reikalingą atlikti esant Konvencijos 8 ir 10 straipsniuose įtvirtintų saugomų vertybių kolizijai. Priminęs jau suformuotą jurisprudenciją, raginančią atsižvelgti į, </w:t>
      </w:r>
      <w:r w:rsidRPr="00D56EBC">
        <w:rPr>
          <w:rFonts w:ascii="Calibri" w:eastAsia="Calibri" w:hAnsi="Calibri" w:cs="Calibri"/>
        </w:rPr>
        <w:t xml:space="preserve">pavyzdžiui, indėlį į </w:t>
      </w:r>
      <w:r>
        <w:rPr>
          <w:rFonts w:ascii="Calibri" w:eastAsia="Calibri" w:hAnsi="Calibri" w:cs="Calibri"/>
        </w:rPr>
        <w:t xml:space="preserve">viešojo intereso </w:t>
      </w:r>
      <w:r w:rsidRPr="00D56EBC">
        <w:rPr>
          <w:rFonts w:ascii="Calibri" w:eastAsia="Calibri" w:hAnsi="Calibri" w:cs="Calibri"/>
        </w:rPr>
        <w:t>diskusij</w:t>
      </w:r>
      <w:r>
        <w:rPr>
          <w:rFonts w:ascii="Calibri" w:eastAsia="Calibri" w:hAnsi="Calibri" w:cs="Calibri"/>
        </w:rPr>
        <w:t>as</w:t>
      </w:r>
      <w:r w:rsidRPr="00D56EBC">
        <w:rPr>
          <w:rFonts w:ascii="Calibri" w:eastAsia="Calibri" w:hAnsi="Calibri" w:cs="Calibri"/>
        </w:rPr>
        <w:t xml:space="preserve">, </w:t>
      </w:r>
      <w:r>
        <w:rPr>
          <w:rFonts w:ascii="Calibri" w:eastAsia="Calibri" w:hAnsi="Calibri" w:cs="Calibri"/>
        </w:rPr>
        <w:t>paveikto asmens žinomumo lygį</w:t>
      </w:r>
      <w:r w:rsidRPr="00D56EBC">
        <w:rPr>
          <w:rFonts w:ascii="Calibri" w:eastAsia="Calibri" w:hAnsi="Calibri" w:cs="Calibri"/>
        </w:rPr>
        <w:t>, naujienų pranešimo temą, ankstesnį atitinkamo asmens elgesį, informacijos turinį ir gavimo būdą bei jos tikrumą, paskelbimo formą</w:t>
      </w:r>
      <w:r>
        <w:rPr>
          <w:rFonts w:ascii="Calibri" w:eastAsia="Calibri" w:hAnsi="Calibri" w:cs="Calibri"/>
        </w:rPr>
        <w:t>,</w:t>
      </w:r>
      <w:r w:rsidRPr="00D56EBC">
        <w:rPr>
          <w:rFonts w:ascii="Calibri" w:eastAsia="Calibri" w:hAnsi="Calibri" w:cs="Calibri"/>
        </w:rPr>
        <w:t xml:space="preserve"> pasekmes ir paskirtos nuobaudos sunkumą</w:t>
      </w:r>
      <w:r>
        <w:rPr>
          <w:rFonts w:ascii="Calibri" w:eastAsia="Calibri" w:hAnsi="Calibri" w:cs="Calibri"/>
        </w:rPr>
        <w:t xml:space="preserve">, </w:t>
      </w:r>
      <w:r w:rsidRPr="00227A10">
        <w:rPr>
          <w:rFonts w:ascii="Calibri" w:eastAsia="Calibri" w:hAnsi="Calibri" w:cs="Calibri"/>
          <w:u w:val="single"/>
        </w:rPr>
        <w:t>teismas atkreipė dėmesį į tai, kad advokatų kontora buvo garsi, o jos vadovas – visuomenėje gerai žinomas asmuo. Atsižvelgęs į tai, kad pareiškėjo teiginiai buvo platesnės kritikos dėl netinkamų politikų ir viešojo administravimo institucijų ryšių, kurie yra viešojo intereso objektas, dalis, taip pat į tai, kad tai buvo vertybiniai vertinimai, grįsti prielaidomis apie kitų asmenų galimus motyvus, o ne fakto konstatavimas, ir į sąlyginai nedidelę teiginių sklaidą</w:t>
      </w:r>
      <w:r>
        <w:rPr>
          <w:rFonts w:ascii="Calibri" w:eastAsia="Calibri" w:hAnsi="Calibri" w:cs="Calibri"/>
        </w:rPr>
        <w:t xml:space="preserve"> (kadangi vietinė televizija nėra plačiai žiūrima, pasiekia apie 9 500 žiūrovų, ir nors interviu buvo prieinamas internete bei aprašytas tinklaraščiuose, Porto miesto dydžio atžvilgiu sklaida nebuvo reikšminga), </w:t>
      </w:r>
      <w:r w:rsidRPr="00227A10">
        <w:rPr>
          <w:rFonts w:ascii="Calibri" w:eastAsia="Calibri" w:hAnsi="Calibri" w:cs="Calibri"/>
          <w:u w:val="single"/>
        </w:rPr>
        <w:t>EŽTT nusprendė, kad pareiškėjas buvo neproporcingai nubaustas</w:t>
      </w:r>
      <w:r>
        <w:rPr>
          <w:rFonts w:ascii="Calibri" w:eastAsia="Calibri" w:hAnsi="Calibri" w:cs="Calibri"/>
        </w:rPr>
        <w:t xml:space="preserve">. Juo labiau, kad jam buvo liepta atlyginti 5 000 Eur ir 10 000 Eur sumas už padarytą žalą, nors </w:t>
      </w:r>
      <w:r w:rsidRPr="000105BA">
        <w:rPr>
          <w:rFonts w:ascii="Calibri" w:eastAsia="Calibri" w:hAnsi="Calibri" w:cs="Calibri"/>
        </w:rPr>
        <w:t xml:space="preserve">žalos atlyginimas už šmeižtą turi būti proporcingas reputacijai padarytai žalai, o </w:t>
      </w:r>
      <w:r>
        <w:rPr>
          <w:rFonts w:ascii="Calibri" w:eastAsia="Calibri" w:hAnsi="Calibri" w:cs="Calibri"/>
        </w:rPr>
        <w:t xml:space="preserve">iš pareiškėjo priteista </w:t>
      </w:r>
      <w:r w:rsidRPr="000105BA">
        <w:rPr>
          <w:rFonts w:ascii="Calibri" w:eastAsia="Calibri" w:hAnsi="Calibri" w:cs="Calibri"/>
        </w:rPr>
        <w:t>žalos atlyginimo suma</w:t>
      </w:r>
      <w:r>
        <w:rPr>
          <w:rFonts w:ascii="Calibri" w:eastAsia="Calibri" w:hAnsi="Calibri" w:cs="Calibri"/>
        </w:rPr>
        <w:t xml:space="preserve"> </w:t>
      </w:r>
      <w:r w:rsidRPr="000105BA">
        <w:rPr>
          <w:rFonts w:ascii="Calibri" w:eastAsia="Calibri" w:hAnsi="Calibri" w:cs="Calibri"/>
        </w:rPr>
        <w:t>atrodė akivaizdžiai neproporcinga</w:t>
      </w:r>
      <w:r>
        <w:rPr>
          <w:rFonts w:ascii="Calibri" w:eastAsia="Calibri" w:hAnsi="Calibri" w:cs="Calibri"/>
        </w:rPr>
        <w:t>, ypač</w:t>
      </w:r>
      <w:r w:rsidRPr="000105BA">
        <w:rPr>
          <w:rFonts w:ascii="Calibri" w:eastAsia="Calibri" w:hAnsi="Calibri" w:cs="Calibri"/>
        </w:rPr>
        <w:t xml:space="preserve"> atsižvelgiant į tai, kad </w:t>
      </w:r>
      <w:r>
        <w:rPr>
          <w:rFonts w:ascii="Calibri" w:eastAsia="Calibri" w:hAnsi="Calibri" w:cs="Calibri"/>
        </w:rPr>
        <w:t xml:space="preserve">interviu buvo </w:t>
      </w:r>
      <w:r w:rsidRPr="000105BA">
        <w:rPr>
          <w:rFonts w:ascii="Calibri" w:eastAsia="Calibri" w:hAnsi="Calibri" w:cs="Calibri"/>
        </w:rPr>
        <w:t>transli</w:t>
      </w:r>
      <w:r>
        <w:rPr>
          <w:rFonts w:ascii="Calibri" w:eastAsia="Calibri" w:hAnsi="Calibri" w:cs="Calibri"/>
        </w:rPr>
        <w:t>uotas</w:t>
      </w:r>
      <w:r w:rsidRPr="000105BA">
        <w:rPr>
          <w:rFonts w:ascii="Calibri" w:eastAsia="Calibri" w:hAnsi="Calibri" w:cs="Calibri"/>
        </w:rPr>
        <w:t xml:space="preserve"> priva</w:t>
      </w:r>
      <w:r>
        <w:rPr>
          <w:rFonts w:ascii="Calibri" w:eastAsia="Calibri" w:hAnsi="Calibri" w:cs="Calibri"/>
        </w:rPr>
        <w:t>čiame</w:t>
      </w:r>
      <w:r w:rsidRPr="000105BA">
        <w:rPr>
          <w:rFonts w:ascii="Calibri" w:eastAsia="Calibri" w:hAnsi="Calibri" w:cs="Calibri"/>
        </w:rPr>
        <w:t xml:space="preserve"> televizijos kanal</w:t>
      </w:r>
      <w:r>
        <w:rPr>
          <w:rFonts w:ascii="Calibri" w:eastAsia="Calibri" w:hAnsi="Calibri" w:cs="Calibri"/>
        </w:rPr>
        <w:t>e</w:t>
      </w:r>
      <w:r w:rsidRPr="000105BA">
        <w:rPr>
          <w:rFonts w:ascii="Calibri" w:eastAsia="Calibri" w:hAnsi="Calibri" w:cs="Calibri"/>
        </w:rPr>
        <w:t>, turin</w:t>
      </w:r>
      <w:r>
        <w:rPr>
          <w:rFonts w:ascii="Calibri" w:eastAsia="Calibri" w:hAnsi="Calibri" w:cs="Calibri"/>
        </w:rPr>
        <w:t>čiame</w:t>
      </w:r>
      <w:r w:rsidRPr="000105BA">
        <w:rPr>
          <w:rFonts w:ascii="Calibri" w:eastAsia="Calibri" w:hAnsi="Calibri" w:cs="Calibri"/>
        </w:rPr>
        <w:t xml:space="preserve"> ribotą auditoriją.</w:t>
      </w:r>
    </w:p>
    <w:p w14:paraId="6D048975" w14:textId="77777777" w:rsidR="00531389" w:rsidRDefault="00531389" w:rsidP="00531389">
      <w:pPr>
        <w:spacing w:after="0" w:line="240" w:lineRule="auto"/>
        <w:ind w:firstLine="567"/>
        <w:jc w:val="both"/>
        <w:rPr>
          <w:rFonts w:ascii="Calibri" w:eastAsia="Calibri" w:hAnsi="Calibri" w:cs="Calibri"/>
        </w:rPr>
      </w:pPr>
      <w:r>
        <w:rPr>
          <w:rFonts w:ascii="Calibri" w:eastAsia="Calibri" w:hAnsi="Calibri" w:cs="Calibri"/>
        </w:rPr>
        <w:t>Tokie nacionalinių teismų verdiktai pripažinti turinčiais itin neigiamą įtaką saviraiškos laisvei ir dėl pernelyg didelio advokatų kontoros ir jos vadovo reputacijos sureikšminimo, sutrikdžiusio interesų pusiausvyros testą, pripažinta, kad nacionaliniai teismai peržengė savo diskrecijos ribas ir buvo pažeista Konvencija.</w:t>
      </w:r>
    </w:p>
    <w:p w14:paraId="621A36ED" w14:textId="77777777" w:rsidR="00531389" w:rsidRDefault="00531389" w:rsidP="00531389">
      <w:pPr>
        <w:spacing w:after="0"/>
        <w:ind w:firstLine="567"/>
        <w:rPr>
          <w:rFonts w:ascii="Calibri" w:eastAsia="Calibri" w:hAnsi="Calibri" w:cs="Calibri"/>
        </w:rPr>
      </w:pPr>
    </w:p>
    <w:p w14:paraId="22BA11D1" w14:textId="77777777" w:rsidR="00531389" w:rsidRDefault="00531389" w:rsidP="00531389">
      <w:pPr>
        <w:spacing w:after="0" w:line="240" w:lineRule="auto"/>
        <w:ind w:right="-1" w:firstLine="567"/>
        <w:rPr>
          <w:rFonts w:ascii="Calibri" w:eastAsia="Calibri" w:hAnsi="Calibri" w:cs="Calibri"/>
        </w:rPr>
      </w:pPr>
      <w:r w:rsidRPr="00DB283F">
        <w:rPr>
          <w:rFonts w:ascii="Calibri" w:eastAsia="Calibri" w:hAnsi="Calibri" w:cs="Calibri"/>
        </w:rPr>
        <w:t xml:space="preserve">Išvada: nustatytas Konvencijos </w:t>
      </w:r>
      <w:r>
        <w:rPr>
          <w:rFonts w:ascii="Calibri" w:eastAsia="Calibri" w:hAnsi="Calibri" w:cs="Calibri"/>
        </w:rPr>
        <w:t>10</w:t>
      </w:r>
      <w:r w:rsidRPr="00DB283F">
        <w:rPr>
          <w:rFonts w:ascii="Calibri" w:eastAsia="Calibri" w:hAnsi="Calibri" w:cs="Calibri"/>
        </w:rPr>
        <w:t xml:space="preserve"> straipsnio pažeidimas (</w:t>
      </w:r>
      <w:r>
        <w:rPr>
          <w:rFonts w:ascii="Calibri" w:eastAsia="Calibri" w:hAnsi="Calibri" w:cs="Calibri"/>
        </w:rPr>
        <w:t>vienbalsiai</w:t>
      </w:r>
      <w:r w:rsidRPr="00DB283F">
        <w:rPr>
          <w:rFonts w:ascii="Calibri" w:eastAsia="Calibri" w:hAnsi="Calibri" w:cs="Calibri"/>
        </w:rPr>
        <w:t>).</w:t>
      </w:r>
    </w:p>
    <w:p w14:paraId="574A5218" w14:textId="77777777" w:rsidR="00531389" w:rsidRPr="00DB283F" w:rsidRDefault="00531389" w:rsidP="00531389">
      <w:pPr>
        <w:spacing w:after="0" w:line="240" w:lineRule="auto"/>
        <w:ind w:right="-1" w:firstLine="567"/>
        <w:rPr>
          <w:rFonts w:ascii="Calibri" w:eastAsia="Calibri" w:hAnsi="Calibri" w:cs="Calibri"/>
        </w:rPr>
      </w:pPr>
      <w:r w:rsidRPr="00DF173A">
        <w:rPr>
          <w:rFonts w:cstheme="minorHAnsi"/>
        </w:rPr>
        <w:t xml:space="preserve">41 straipsnis: </w:t>
      </w:r>
      <w:r>
        <w:rPr>
          <w:rFonts w:cstheme="minorHAnsi"/>
        </w:rPr>
        <w:t>p</w:t>
      </w:r>
      <w:r>
        <w:rPr>
          <w:rFonts w:ascii="Calibri" w:eastAsia="Calibri" w:hAnsi="Calibri" w:cs="Calibri"/>
        </w:rPr>
        <w:t>areiškėjui priteista 10 000 Eur neturtinės žalos.</w:t>
      </w:r>
    </w:p>
    <w:p w14:paraId="593C5462" w14:textId="77777777" w:rsidR="00531389" w:rsidRDefault="00531389" w:rsidP="00531389">
      <w:pPr>
        <w:spacing w:after="0" w:line="240" w:lineRule="auto"/>
        <w:ind w:right="-1" w:firstLine="567"/>
        <w:rPr>
          <w:rFonts w:ascii="Calibri" w:eastAsia="Calibri" w:hAnsi="Calibri" w:cs="Calibri"/>
          <w:color w:val="0000FF"/>
          <w:u w:val="single"/>
        </w:rPr>
      </w:pPr>
      <w:hyperlink r:id="rId18" w:history="1">
        <w:r w:rsidRPr="00A60D54">
          <w:rPr>
            <w:rFonts w:ascii="Calibri" w:eastAsia="Calibri" w:hAnsi="Calibri" w:cs="Calibri"/>
            <w:color w:val="0000FF"/>
            <w:u w:val="single"/>
          </w:rPr>
          <w:t>Prieiga internete</w:t>
        </w:r>
      </w:hyperlink>
    </w:p>
    <w:p w14:paraId="17DD56EA" w14:textId="77777777" w:rsidR="00531389" w:rsidRDefault="00531389" w:rsidP="005A0365">
      <w:pPr>
        <w:shd w:val="clear" w:color="auto" w:fill="FFFFFF"/>
        <w:spacing w:after="0" w:line="240" w:lineRule="auto"/>
        <w:ind w:right="-1"/>
        <w:jc w:val="center"/>
        <w:rPr>
          <w:rFonts w:ascii="Calibri" w:eastAsia="Times New Roman" w:hAnsi="Calibri" w:cs="Calibri"/>
          <w:b/>
        </w:rPr>
      </w:pPr>
    </w:p>
    <w:p w14:paraId="68B70140" w14:textId="51251D2E" w:rsidR="005A0365" w:rsidRDefault="005A0365" w:rsidP="005A0365">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 xml:space="preserve">Europos Žmogaus Teisių Teismo </w:t>
      </w:r>
      <w:r w:rsidRPr="007774CC">
        <w:rPr>
          <w:rFonts w:ascii="Calibri" w:eastAsia="Times New Roman" w:hAnsi="Calibri" w:cs="Calibri"/>
          <w:b/>
        </w:rPr>
        <w:t>202</w:t>
      </w:r>
      <w:r>
        <w:rPr>
          <w:rFonts w:ascii="Calibri" w:eastAsia="Times New Roman" w:hAnsi="Calibri" w:cs="Calibri"/>
          <w:b/>
        </w:rPr>
        <w:t>4</w:t>
      </w:r>
      <w:r w:rsidRPr="007774CC">
        <w:rPr>
          <w:rFonts w:ascii="Calibri" w:eastAsia="Times New Roman" w:hAnsi="Calibri" w:cs="Calibri"/>
          <w:b/>
        </w:rPr>
        <w:t xml:space="preserve"> m. </w:t>
      </w:r>
      <w:r>
        <w:rPr>
          <w:rFonts w:ascii="Calibri" w:eastAsia="Times New Roman" w:hAnsi="Calibri" w:cs="Calibri"/>
          <w:b/>
        </w:rPr>
        <w:t>kovo 21 d</w:t>
      </w:r>
      <w:r w:rsidRPr="007774CC">
        <w:rPr>
          <w:rFonts w:ascii="Calibri" w:eastAsia="Times New Roman" w:hAnsi="Calibri" w:cs="Calibri"/>
          <w:b/>
        </w:rPr>
        <w:t xml:space="preserve">. sprendimas byloje </w:t>
      </w:r>
    </w:p>
    <w:p w14:paraId="4FB7E9D0" w14:textId="77777777" w:rsidR="005A0365" w:rsidRPr="00142BEE" w:rsidRDefault="005A0365" w:rsidP="005A0365">
      <w:pPr>
        <w:keepNext/>
        <w:keepLines/>
        <w:spacing w:after="0" w:line="240" w:lineRule="auto"/>
        <w:jc w:val="center"/>
        <w:outlineLvl w:val="1"/>
        <w:rPr>
          <w:rFonts w:ascii="Calibri" w:eastAsia="Times New Roman" w:hAnsi="Calibri" w:cs="Times New Roman"/>
          <w:b/>
          <w:bCs/>
          <w:i/>
          <w:iCs/>
          <w:color w:val="2E74B5"/>
        </w:rPr>
      </w:pPr>
      <w:bookmarkStart w:id="35" w:name="_Toc181709503"/>
      <w:r w:rsidRPr="00142BEE">
        <w:rPr>
          <w:rFonts w:ascii="Calibri" w:eastAsia="Times New Roman" w:hAnsi="Calibri" w:cs="Times New Roman"/>
          <w:b/>
          <w:bCs/>
          <w:i/>
          <w:iCs/>
          <w:color w:val="2E74B5"/>
        </w:rPr>
        <w:t>Sieć Obywatelska Watchdog Polska prieš Lenkiją</w:t>
      </w:r>
      <w:bookmarkEnd w:id="35"/>
    </w:p>
    <w:p w14:paraId="5D91AA2D" w14:textId="77777777" w:rsidR="005A0365" w:rsidRPr="003C00F2" w:rsidRDefault="005A0365" w:rsidP="005A0365">
      <w:pPr>
        <w:shd w:val="clear" w:color="auto" w:fill="FFFFFF"/>
        <w:spacing w:after="0" w:line="240" w:lineRule="auto"/>
        <w:ind w:right="-1"/>
        <w:jc w:val="center"/>
        <w:rPr>
          <w:rFonts w:ascii="Calibri" w:eastAsia="Calibri" w:hAnsi="Calibri" w:cs="Calibri"/>
          <w:b/>
        </w:rPr>
      </w:pPr>
      <w:r w:rsidRPr="0007243E">
        <w:rPr>
          <w:rFonts w:ascii="Calibri" w:eastAsia="Times New Roman" w:hAnsi="Calibri" w:cs="Calibri"/>
          <w:b/>
        </w:rPr>
        <w:t>(pareiškim</w:t>
      </w:r>
      <w:r>
        <w:rPr>
          <w:rFonts w:ascii="Calibri" w:eastAsia="Times New Roman" w:hAnsi="Calibri" w:cs="Calibri"/>
          <w:b/>
        </w:rPr>
        <w:t>o</w:t>
      </w:r>
      <w:r w:rsidRPr="0007243E">
        <w:rPr>
          <w:rFonts w:ascii="Calibri" w:eastAsia="Times New Roman" w:hAnsi="Calibri" w:cs="Calibri"/>
          <w:b/>
        </w:rPr>
        <w:t xml:space="preserve"> Nr. </w:t>
      </w:r>
      <w:r w:rsidRPr="001312D4">
        <w:rPr>
          <w:rFonts w:ascii="Calibri" w:eastAsia="Times New Roman" w:hAnsi="Calibri" w:cs="Calibri"/>
          <w:b/>
        </w:rPr>
        <w:t>10103/20</w:t>
      </w:r>
      <w:r w:rsidRPr="00597151">
        <w:rPr>
          <w:rFonts w:ascii="Calibri" w:eastAsia="Calibri" w:hAnsi="Calibri" w:cs="Calibri"/>
          <w:b/>
        </w:rPr>
        <w:t xml:space="preserve">, svarbos lygis – </w:t>
      </w:r>
      <w:r>
        <w:rPr>
          <w:rFonts w:ascii="Calibri" w:eastAsia="Calibri" w:hAnsi="Calibri" w:cs="Calibri"/>
          <w:b/>
        </w:rPr>
        <w:t>2</w:t>
      </w:r>
      <w:r w:rsidRPr="00597151">
        <w:rPr>
          <w:rFonts w:ascii="Calibri" w:eastAsia="Times New Roman" w:hAnsi="Calibri" w:cs="Calibri"/>
          <w:b/>
        </w:rPr>
        <w:t>)</w:t>
      </w:r>
    </w:p>
    <w:p w14:paraId="383A637B" w14:textId="77777777" w:rsidR="005A0365" w:rsidRPr="0007243E" w:rsidRDefault="005A0365" w:rsidP="005A0365">
      <w:pPr>
        <w:shd w:val="clear" w:color="auto" w:fill="FFFFFF"/>
        <w:spacing w:after="0" w:line="240" w:lineRule="auto"/>
        <w:ind w:right="-1" w:firstLine="567"/>
        <w:jc w:val="center"/>
        <w:rPr>
          <w:rFonts w:ascii="Calibri" w:eastAsia="Times New Roman" w:hAnsi="Calibri" w:cs="Calibri"/>
          <w:b/>
          <w:bCs/>
          <w:color w:val="000000"/>
        </w:rPr>
      </w:pPr>
    </w:p>
    <w:p w14:paraId="33072513" w14:textId="77777777" w:rsidR="005A0365" w:rsidRPr="00734E33" w:rsidRDefault="005A0365" w:rsidP="005A0365">
      <w:pPr>
        <w:keepNext/>
        <w:keepLines/>
        <w:spacing w:after="0" w:line="240" w:lineRule="auto"/>
        <w:ind w:right="-1" w:firstLine="567"/>
        <w:jc w:val="both"/>
        <w:outlineLvl w:val="2"/>
        <w:rPr>
          <w:rFonts w:ascii="Calibri" w:eastAsia="Calibri" w:hAnsi="Calibri" w:cs="Calibri"/>
          <w:bCs/>
          <w:i/>
          <w:iCs/>
        </w:rPr>
      </w:pPr>
      <w:bookmarkStart w:id="36" w:name="_Toc181709504"/>
      <w:r w:rsidRPr="009A365D">
        <w:rPr>
          <w:rFonts w:ascii="Calibri" w:eastAsia="Calibri" w:hAnsi="Calibri" w:cs="Calibri"/>
          <w:bCs/>
          <w:i/>
          <w:iCs/>
        </w:rPr>
        <w:t>Dėl teisės susipažinti su teisėjų susitikimų žurnalu ir asmenų lankymosi teismo pastate įrašais</w:t>
      </w:r>
      <w:bookmarkEnd w:id="36"/>
      <w:r>
        <w:rPr>
          <w:rFonts w:ascii="Calibri" w:eastAsia="Calibri" w:hAnsi="Calibri" w:cs="Calibri"/>
          <w:bCs/>
          <w:i/>
          <w:iCs/>
        </w:rPr>
        <w:t xml:space="preserve"> </w:t>
      </w:r>
    </w:p>
    <w:p w14:paraId="34261701" w14:textId="77777777" w:rsidR="005A0365" w:rsidRPr="00734E33" w:rsidRDefault="005A0365" w:rsidP="005A0365">
      <w:pPr>
        <w:shd w:val="clear" w:color="auto" w:fill="FFFFFF"/>
        <w:spacing w:after="0" w:line="240" w:lineRule="auto"/>
        <w:ind w:right="-1"/>
        <w:jc w:val="center"/>
        <w:rPr>
          <w:rFonts w:ascii="Calibri" w:eastAsia="Times New Roman" w:hAnsi="Calibri" w:cs="Calibri"/>
          <w:b/>
          <w:bCs/>
          <w:color w:val="000000"/>
        </w:rPr>
      </w:pPr>
    </w:p>
    <w:p w14:paraId="344D57AF" w14:textId="77777777" w:rsidR="005A0365" w:rsidRPr="00734E33" w:rsidRDefault="005A0365" w:rsidP="005A0365">
      <w:pPr>
        <w:shd w:val="clear" w:color="auto" w:fill="FFFFFF"/>
        <w:spacing w:after="0" w:line="240" w:lineRule="auto"/>
        <w:ind w:right="-1"/>
        <w:jc w:val="center"/>
        <w:rPr>
          <w:rFonts w:ascii="Calibri" w:eastAsia="Times New Roman" w:hAnsi="Calibri" w:cs="Calibri"/>
          <w:b/>
          <w:bCs/>
          <w:color w:val="000000"/>
        </w:rPr>
      </w:pPr>
      <w:r w:rsidRPr="00734E33">
        <w:rPr>
          <w:rFonts w:ascii="Calibri" w:eastAsia="Times New Roman" w:hAnsi="Calibri" w:cs="Calibri"/>
          <w:b/>
          <w:bCs/>
          <w:color w:val="000000"/>
        </w:rPr>
        <w:t>Faktinės aplinkybės</w:t>
      </w:r>
    </w:p>
    <w:p w14:paraId="162991A5" w14:textId="77777777" w:rsidR="005A0365" w:rsidRDefault="005A0365" w:rsidP="005A0365">
      <w:pPr>
        <w:spacing w:after="0" w:line="240" w:lineRule="auto"/>
        <w:ind w:right="-1" w:firstLine="567"/>
        <w:rPr>
          <w:rFonts w:ascii="Calibri" w:eastAsia="Calibri" w:hAnsi="Calibri" w:cs="Calibri"/>
        </w:rPr>
      </w:pPr>
    </w:p>
    <w:p w14:paraId="53C51BD7" w14:textId="77777777" w:rsidR="005A0365" w:rsidRPr="00F53D72" w:rsidRDefault="005A0365" w:rsidP="005A0365">
      <w:pPr>
        <w:spacing w:after="0" w:line="240" w:lineRule="auto"/>
        <w:ind w:right="-1" w:firstLine="567"/>
        <w:jc w:val="both"/>
        <w:rPr>
          <w:rFonts w:ascii="Calibri" w:eastAsia="Calibri" w:hAnsi="Calibri" w:cs="Calibri"/>
        </w:rPr>
      </w:pPr>
      <w:r>
        <w:rPr>
          <w:rFonts w:ascii="Calibri" w:eastAsia="Calibri" w:hAnsi="Calibri" w:cs="Calibri"/>
        </w:rPr>
        <w:t>Pareiškėja</w:t>
      </w:r>
      <w:r w:rsidRPr="00F53D72">
        <w:rPr>
          <w:rFonts w:ascii="Calibri" w:eastAsia="Calibri" w:hAnsi="Calibri" w:cs="Calibri"/>
        </w:rPr>
        <w:t xml:space="preserve"> </w:t>
      </w:r>
      <w:r w:rsidRPr="00397E15">
        <w:rPr>
          <w:rFonts w:ascii="Calibri" w:eastAsia="Calibri" w:hAnsi="Calibri" w:cs="Calibri"/>
          <w:i/>
          <w:iCs/>
        </w:rPr>
        <w:t>Sieć Obywatelska Watchdog Polska</w:t>
      </w:r>
      <w:r>
        <w:rPr>
          <w:rFonts w:ascii="Calibri" w:eastAsia="Calibri" w:hAnsi="Calibri" w:cs="Calibri"/>
        </w:rPr>
        <w:t xml:space="preserve"> </w:t>
      </w:r>
      <w:r w:rsidRPr="00F53D72">
        <w:rPr>
          <w:rFonts w:ascii="Calibri" w:eastAsia="Calibri" w:hAnsi="Calibri" w:cs="Calibri"/>
        </w:rPr>
        <w:t>yra Lenkijoje įsikūrusi nevyriausybinė organizacija</w:t>
      </w:r>
      <w:r>
        <w:rPr>
          <w:rFonts w:ascii="Calibri" w:eastAsia="Calibri" w:hAnsi="Calibri" w:cs="Calibri"/>
        </w:rPr>
        <w:t xml:space="preserve"> (toliau – NVO)</w:t>
      </w:r>
      <w:r w:rsidRPr="00F53D72">
        <w:rPr>
          <w:rFonts w:ascii="Calibri" w:eastAsia="Calibri" w:hAnsi="Calibri" w:cs="Calibri"/>
        </w:rPr>
        <w:t xml:space="preserve">. Jos tikslas </w:t>
      </w:r>
      <w:r>
        <w:rPr>
          <w:rFonts w:ascii="Calibri" w:eastAsia="Calibri" w:hAnsi="Calibri" w:cs="Calibri"/>
        </w:rPr>
        <w:t>–</w:t>
      </w:r>
      <w:r w:rsidRPr="00F53D72">
        <w:rPr>
          <w:rFonts w:ascii="Calibri" w:eastAsia="Calibri" w:hAnsi="Calibri" w:cs="Calibri"/>
        </w:rPr>
        <w:t xml:space="preserve"> didinti skaidrumą viešojoje erdvėje ir didinti informuotumą apie gerą valdymą ir valdžios atskaitomybę Lenkijoje.</w:t>
      </w:r>
    </w:p>
    <w:p w14:paraId="4BC9EA16" w14:textId="147A4A75" w:rsidR="005A0365" w:rsidRPr="00F53D72" w:rsidRDefault="005A0365" w:rsidP="005A0365">
      <w:pPr>
        <w:spacing w:after="0" w:line="240" w:lineRule="auto"/>
        <w:ind w:right="-1" w:firstLine="567"/>
        <w:jc w:val="both"/>
        <w:rPr>
          <w:rFonts w:ascii="Calibri" w:eastAsia="Calibri" w:hAnsi="Calibri" w:cs="Calibri"/>
        </w:rPr>
      </w:pPr>
      <w:r w:rsidRPr="00F53D72">
        <w:rPr>
          <w:rFonts w:ascii="Calibri" w:eastAsia="Calibri" w:hAnsi="Calibri" w:cs="Calibri"/>
        </w:rPr>
        <w:t xml:space="preserve">2017 m. liepos mėn. pareiškėja NVO išsiuntė elektroninį laišką Konstituciniam Teismui, prašydama leisti susipažinti su jos pirmininko ir pirmininko pavaduotojo </w:t>
      </w:r>
      <w:r>
        <w:rPr>
          <w:rFonts w:ascii="Calibri" w:eastAsia="Calibri" w:hAnsi="Calibri" w:cs="Calibri"/>
        </w:rPr>
        <w:t>susitikimų</w:t>
      </w:r>
      <w:r w:rsidRPr="00F53D72">
        <w:rPr>
          <w:rFonts w:ascii="Calibri" w:eastAsia="Calibri" w:hAnsi="Calibri" w:cs="Calibri"/>
        </w:rPr>
        <w:t xml:space="preserve"> </w:t>
      </w:r>
      <w:r>
        <w:rPr>
          <w:rFonts w:ascii="Calibri" w:eastAsia="Calibri" w:hAnsi="Calibri" w:cs="Calibri"/>
        </w:rPr>
        <w:t>žurnalu</w:t>
      </w:r>
      <w:r w:rsidRPr="00F53D72">
        <w:rPr>
          <w:rFonts w:ascii="Calibri" w:eastAsia="Calibri" w:hAnsi="Calibri" w:cs="Calibri"/>
        </w:rPr>
        <w:t xml:space="preserve"> </w:t>
      </w:r>
      <w:r>
        <w:rPr>
          <w:rFonts w:ascii="Calibri" w:eastAsia="Calibri" w:hAnsi="Calibri" w:cs="Calibri"/>
        </w:rPr>
        <w:t xml:space="preserve">(angl. </w:t>
      </w:r>
      <w:r w:rsidRPr="00F53D72">
        <w:rPr>
          <w:rFonts w:ascii="Calibri" w:eastAsia="Calibri" w:hAnsi="Calibri" w:cs="Calibri"/>
          <w:i/>
          <w:iCs/>
        </w:rPr>
        <w:t>diary of meetings</w:t>
      </w:r>
      <w:r>
        <w:rPr>
          <w:rFonts w:ascii="Calibri" w:eastAsia="Calibri" w:hAnsi="Calibri" w:cs="Calibri"/>
        </w:rPr>
        <w:t xml:space="preserve">) </w:t>
      </w:r>
      <w:r w:rsidRPr="00F53D72">
        <w:rPr>
          <w:rFonts w:ascii="Calibri" w:eastAsia="Calibri" w:hAnsi="Calibri" w:cs="Calibri"/>
        </w:rPr>
        <w:t>ir visų asmenų, kurie nuo 2017 m. sausio 1 d. įėjo į teismo pastatą ir iš jo išėjo, įrašais.</w:t>
      </w:r>
      <w:r>
        <w:rPr>
          <w:rFonts w:ascii="Calibri" w:eastAsia="Calibri" w:hAnsi="Calibri" w:cs="Calibri"/>
        </w:rPr>
        <w:t xml:space="preserve"> </w:t>
      </w:r>
      <w:r w:rsidRPr="00F53D72">
        <w:rPr>
          <w:rFonts w:ascii="Calibri" w:eastAsia="Calibri" w:hAnsi="Calibri" w:cs="Calibri"/>
        </w:rPr>
        <w:t>Šis prašymas buvo pateiktas atsižvelg</w:t>
      </w:r>
      <w:r w:rsidR="00EE7BA1">
        <w:rPr>
          <w:rFonts w:ascii="Calibri" w:eastAsia="Calibri" w:hAnsi="Calibri" w:cs="Calibri"/>
        </w:rPr>
        <w:t>us</w:t>
      </w:r>
      <w:r w:rsidRPr="00F53D72">
        <w:rPr>
          <w:rFonts w:ascii="Calibri" w:eastAsia="Calibri" w:hAnsi="Calibri" w:cs="Calibri"/>
        </w:rPr>
        <w:t xml:space="preserve"> į tuo metu nacionalinėje žiniasklaidoje pasirodžiusias spekuliacijas dėl tariamų šių teisėjų susitikimų su </w:t>
      </w:r>
      <w:r>
        <w:rPr>
          <w:rFonts w:ascii="Calibri" w:eastAsia="Calibri" w:hAnsi="Calibri" w:cs="Calibri"/>
        </w:rPr>
        <w:t>V</w:t>
      </w:r>
      <w:r w:rsidRPr="00F53D72">
        <w:rPr>
          <w:rFonts w:ascii="Calibri" w:eastAsia="Calibri" w:hAnsi="Calibri" w:cs="Calibri"/>
        </w:rPr>
        <w:t>yriausybės ministru, dėl kurio statuso baudžiamojoje byloje sprendė Konstitucinis Teismas.</w:t>
      </w:r>
    </w:p>
    <w:p w14:paraId="1C2625D0" w14:textId="7BF8E4A5" w:rsidR="005A0365" w:rsidRPr="00F53D72" w:rsidRDefault="005A0365" w:rsidP="005A0365">
      <w:pPr>
        <w:spacing w:after="0" w:line="240" w:lineRule="auto"/>
        <w:ind w:right="-1" w:firstLine="567"/>
        <w:jc w:val="both"/>
        <w:rPr>
          <w:rFonts w:ascii="Calibri" w:eastAsia="Calibri" w:hAnsi="Calibri" w:cs="Calibri"/>
        </w:rPr>
      </w:pPr>
      <w:r w:rsidRPr="00F53D72">
        <w:rPr>
          <w:rFonts w:ascii="Calibri" w:eastAsia="Calibri" w:hAnsi="Calibri" w:cs="Calibri"/>
        </w:rPr>
        <w:t xml:space="preserve">Konstitucinis Teismas atsisakė suteikti prieigą, informuodamas NVO, kad susitikimų </w:t>
      </w:r>
      <w:r>
        <w:rPr>
          <w:rFonts w:ascii="Calibri" w:eastAsia="Calibri" w:hAnsi="Calibri" w:cs="Calibri"/>
        </w:rPr>
        <w:t>žurnalas</w:t>
      </w:r>
      <w:r w:rsidRPr="00F53D72">
        <w:rPr>
          <w:rFonts w:ascii="Calibri" w:eastAsia="Calibri" w:hAnsi="Calibri" w:cs="Calibri"/>
        </w:rPr>
        <w:t>, kuris nėra oficialus dokumentas, nėra vieša informacija pagal atitinkamus įstatymus ir kad ji</w:t>
      </w:r>
      <w:r>
        <w:rPr>
          <w:rFonts w:ascii="Calibri" w:eastAsia="Calibri" w:hAnsi="Calibri" w:cs="Calibri"/>
        </w:rPr>
        <w:t>s</w:t>
      </w:r>
      <w:r w:rsidRPr="00F53D72">
        <w:rPr>
          <w:rFonts w:ascii="Calibri" w:eastAsia="Calibri" w:hAnsi="Calibri" w:cs="Calibri"/>
        </w:rPr>
        <w:t xml:space="preserve"> </w:t>
      </w:r>
      <w:r w:rsidR="00EE7BA1">
        <w:rPr>
          <w:rFonts w:ascii="Calibri" w:eastAsia="Calibri" w:hAnsi="Calibri" w:cs="Calibri"/>
        </w:rPr>
        <w:t xml:space="preserve">(teismas) </w:t>
      </w:r>
      <w:r w:rsidRPr="00F53D72">
        <w:rPr>
          <w:rFonts w:ascii="Calibri" w:eastAsia="Calibri" w:hAnsi="Calibri" w:cs="Calibri"/>
        </w:rPr>
        <w:t>nevykdo įeinančių ir išeinančių asmenų registravimo.</w:t>
      </w:r>
    </w:p>
    <w:p w14:paraId="7E854B8A" w14:textId="77777777" w:rsidR="005A0365" w:rsidRPr="00F53D72" w:rsidRDefault="005A0365" w:rsidP="005A0365">
      <w:pPr>
        <w:spacing w:after="0" w:line="240" w:lineRule="auto"/>
        <w:ind w:right="-1" w:firstLine="567"/>
        <w:jc w:val="both"/>
        <w:rPr>
          <w:rFonts w:ascii="Calibri" w:eastAsia="Calibri" w:hAnsi="Calibri" w:cs="Calibri"/>
        </w:rPr>
      </w:pPr>
      <w:r w:rsidRPr="00F53D72">
        <w:rPr>
          <w:rFonts w:ascii="Calibri" w:eastAsia="Calibri" w:hAnsi="Calibri" w:cs="Calibri"/>
        </w:rPr>
        <w:t xml:space="preserve">NVO pateikė nacionaliniams teismams skundą, kuris galiausiai buvo nesėkmingas. Visų pirma, 2019 m. Vyriausiasis administracinis teismas nustatė, kad Konstitucinio Teismo pirmininko ar pirmininko pavaduotojo </w:t>
      </w:r>
      <w:r>
        <w:rPr>
          <w:rFonts w:ascii="Calibri" w:eastAsia="Calibri" w:hAnsi="Calibri" w:cs="Calibri"/>
        </w:rPr>
        <w:t>susitikimų</w:t>
      </w:r>
      <w:r w:rsidRPr="00F53D72">
        <w:rPr>
          <w:rFonts w:ascii="Calibri" w:eastAsia="Calibri" w:hAnsi="Calibri" w:cs="Calibri"/>
        </w:rPr>
        <w:t xml:space="preserve"> </w:t>
      </w:r>
      <w:r>
        <w:rPr>
          <w:rFonts w:ascii="Calibri" w:eastAsia="Calibri" w:hAnsi="Calibri" w:cs="Calibri"/>
        </w:rPr>
        <w:t>žurnalas</w:t>
      </w:r>
      <w:r w:rsidRPr="00F53D72">
        <w:rPr>
          <w:rFonts w:ascii="Calibri" w:eastAsia="Calibri" w:hAnsi="Calibri" w:cs="Calibri"/>
        </w:rPr>
        <w:t xml:space="preserve"> yra vidaus dokumentas, kuris negali būti apibūdinamas kaip „viešas“, todėl jo negalima atskleisti. Jis taip pat nusprendė, kad vidaus teisėje nenumatyta pareiga vesti </w:t>
      </w:r>
      <w:r>
        <w:rPr>
          <w:rFonts w:ascii="Calibri" w:eastAsia="Calibri" w:hAnsi="Calibri" w:cs="Calibri"/>
        </w:rPr>
        <w:t>susitikimų</w:t>
      </w:r>
      <w:r w:rsidRPr="00F53D72">
        <w:rPr>
          <w:rFonts w:ascii="Calibri" w:eastAsia="Calibri" w:hAnsi="Calibri" w:cs="Calibri"/>
        </w:rPr>
        <w:t xml:space="preserve"> </w:t>
      </w:r>
      <w:r>
        <w:rPr>
          <w:rFonts w:ascii="Calibri" w:eastAsia="Calibri" w:hAnsi="Calibri" w:cs="Calibri"/>
        </w:rPr>
        <w:t>žurnalą</w:t>
      </w:r>
      <w:r w:rsidRPr="00F53D72">
        <w:rPr>
          <w:rFonts w:ascii="Calibri" w:eastAsia="Calibri" w:hAnsi="Calibri" w:cs="Calibri"/>
        </w:rPr>
        <w:t xml:space="preserve"> arba registruoti į viešus pastatus įeinančius ir iš jų išeinančius asmenis.</w:t>
      </w:r>
    </w:p>
    <w:p w14:paraId="5AAFE910" w14:textId="77777777" w:rsidR="005A0365" w:rsidRPr="00F53D72" w:rsidRDefault="005A0365" w:rsidP="005A0365">
      <w:pPr>
        <w:spacing w:after="0" w:line="240" w:lineRule="auto"/>
        <w:ind w:right="-1" w:firstLine="567"/>
        <w:jc w:val="both"/>
        <w:rPr>
          <w:rFonts w:ascii="Calibri" w:eastAsia="Calibri" w:hAnsi="Calibri" w:cs="Calibri"/>
        </w:rPr>
      </w:pPr>
      <w:r w:rsidRPr="00460B59">
        <w:rPr>
          <w:rFonts w:ascii="Calibri" w:eastAsia="Calibri" w:hAnsi="Calibri" w:cs="Calibri"/>
        </w:rPr>
        <w:t xml:space="preserve">Remdamasi </w:t>
      </w:r>
      <w:r>
        <w:rPr>
          <w:rFonts w:ascii="Calibri" w:eastAsia="Calibri" w:hAnsi="Calibri" w:cs="Calibri"/>
        </w:rPr>
        <w:t xml:space="preserve">Konvencijos </w:t>
      </w:r>
      <w:r w:rsidRPr="00460B59">
        <w:rPr>
          <w:rFonts w:ascii="Calibri" w:eastAsia="Calibri" w:hAnsi="Calibri" w:cs="Calibri"/>
        </w:rPr>
        <w:t>10 straipsniu (saviraiškos laisvė), besikreipianti nevyriausybinė organizacija skundėsi dėl to, kad Konstitucini</w:t>
      </w:r>
      <w:r>
        <w:rPr>
          <w:rFonts w:ascii="Calibri" w:eastAsia="Calibri" w:hAnsi="Calibri" w:cs="Calibri"/>
        </w:rPr>
        <w:t>s</w:t>
      </w:r>
      <w:r w:rsidRPr="00460B59">
        <w:rPr>
          <w:rFonts w:ascii="Calibri" w:eastAsia="Calibri" w:hAnsi="Calibri" w:cs="Calibri"/>
        </w:rPr>
        <w:t xml:space="preserve"> Teism</w:t>
      </w:r>
      <w:r>
        <w:rPr>
          <w:rFonts w:ascii="Calibri" w:eastAsia="Calibri" w:hAnsi="Calibri" w:cs="Calibri"/>
        </w:rPr>
        <w:t>as</w:t>
      </w:r>
      <w:r w:rsidRPr="00460B59">
        <w:rPr>
          <w:rFonts w:ascii="Calibri" w:eastAsia="Calibri" w:hAnsi="Calibri" w:cs="Calibri"/>
        </w:rPr>
        <w:t xml:space="preserve"> nele</w:t>
      </w:r>
      <w:r>
        <w:rPr>
          <w:rFonts w:ascii="Calibri" w:eastAsia="Calibri" w:hAnsi="Calibri" w:cs="Calibri"/>
        </w:rPr>
        <w:t>ido</w:t>
      </w:r>
      <w:r w:rsidRPr="00460B59">
        <w:rPr>
          <w:rFonts w:ascii="Calibri" w:eastAsia="Calibri" w:hAnsi="Calibri" w:cs="Calibri"/>
        </w:rPr>
        <w:t xml:space="preserve"> susipažinti su jos prašoma informacija.</w:t>
      </w:r>
    </w:p>
    <w:p w14:paraId="298CF570" w14:textId="77777777" w:rsidR="005A0365" w:rsidRPr="0089498E" w:rsidRDefault="005A0365" w:rsidP="005A0365">
      <w:pPr>
        <w:spacing w:after="0" w:line="240" w:lineRule="auto"/>
        <w:ind w:firstLine="567"/>
        <w:jc w:val="both"/>
      </w:pPr>
    </w:p>
    <w:p w14:paraId="1FB08F60" w14:textId="77777777" w:rsidR="005A0365" w:rsidRPr="0089498E" w:rsidRDefault="005A0365" w:rsidP="005A0365">
      <w:pPr>
        <w:shd w:val="clear" w:color="auto" w:fill="FFFFFF"/>
        <w:spacing w:after="0" w:line="240" w:lineRule="auto"/>
        <w:ind w:right="-1"/>
        <w:jc w:val="center"/>
        <w:rPr>
          <w:rFonts w:ascii="Calibri" w:eastAsia="Times New Roman" w:hAnsi="Calibri" w:cs="Calibri"/>
          <w:b/>
          <w:bCs/>
          <w:color w:val="000000"/>
        </w:rPr>
      </w:pPr>
      <w:r w:rsidRPr="0089498E">
        <w:rPr>
          <w:rFonts w:ascii="Calibri" w:eastAsia="Times New Roman" w:hAnsi="Calibri" w:cs="Calibri"/>
          <w:b/>
          <w:bCs/>
          <w:color w:val="000000"/>
        </w:rPr>
        <w:t>Neoficiali Teismo sprendimo apžvalga</w:t>
      </w:r>
    </w:p>
    <w:p w14:paraId="53790681" w14:textId="77777777" w:rsidR="005A0365" w:rsidRDefault="005A0365" w:rsidP="005A0365">
      <w:pPr>
        <w:spacing w:after="0" w:line="240" w:lineRule="auto"/>
        <w:ind w:firstLine="567"/>
      </w:pPr>
    </w:p>
    <w:p w14:paraId="64FB5848" w14:textId="77777777" w:rsidR="005A0365" w:rsidRDefault="005A0365" w:rsidP="005A0365">
      <w:pPr>
        <w:spacing w:after="0" w:line="240" w:lineRule="auto"/>
        <w:ind w:firstLine="567"/>
        <w:jc w:val="both"/>
      </w:pPr>
      <w:r w:rsidRPr="00E57B63">
        <w:t xml:space="preserve">Teismas </w:t>
      </w:r>
      <w:r>
        <w:t xml:space="preserve">pirmiausia </w:t>
      </w:r>
      <w:r w:rsidRPr="00E57B63">
        <w:t>pažym</w:t>
      </w:r>
      <w:r>
        <w:t>ėjo</w:t>
      </w:r>
      <w:r w:rsidRPr="00E57B63">
        <w:t xml:space="preserve">, kad </w:t>
      </w:r>
      <w:r w:rsidRPr="0017255F">
        <w:rPr>
          <w:u w:val="single"/>
        </w:rPr>
        <w:t>Konvencijos 10 straipsnis nesuteikia asmeniui teisės susipažinti su valdžios institucijos turima informacija ir neįpareigoja Vyriausybės suteikti tokią informaciją asmeniui. Tačiau tokia teisė ar pareiga gali atsirasti, kai galimybė gauti informaciją yra labai svarbi asmeniui įgyvendinant savo teisę į saviraiškos laisvę, ypač „laisvę gauti ir skleisti informaciją“, ir kai atsisakymas ją suteikti būtų kišimasis į šią teisę</w:t>
      </w:r>
      <w:r w:rsidRPr="00E57B63">
        <w:t>. Teismas vadov</w:t>
      </w:r>
      <w:r>
        <w:t>avosi</w:t>
      </w:r>
      <w:r w:rsidRPr="00E57B63">
        <w:t xml:space="preserve"> </w:t>
      </w:r>
      <w:r w:rsidRPr="00E57B63">
        <w:rPr>
          <w:i/>
          <w:iCs/>
        </w:rPr>
        <w:t>Magyar Helsinki Bizottság prieš Vengriją</w:t>
      </w:r>
      <w:r>
        <w:t xml:space="preserve"> </w:t>
      </w:r>
      <w:r w:rsidRPr="00E57B63">
        <w:t>byloje (</w:t>
      </w:r>
      <w:r>
        <w:t xml:space="preserve">2016 m. lapkričio 8 d. sprendimas </w:t>
      </w:r>
      <w:r w:rsidRPr="00E57B63">
        <w:t>[</w:t>
      </w:r>
      <w:r>
        <w:t>DK</w:t>
      </w:r>
      <w:r w:rsidRPr="00E57B63">
        <w:t xml:space="preserve">], </w:t>
      </w:r>
      <w:r>
        <w:t>pareiškimo Nr.</w:t>
      </w:r>
      <w:r w:rsidRPr="00E57B63">
        <w:t xml:space="preserve"> 18030/11)</w:t>
      </w:r>
      <w:r>
        <w:t xml:space="preserve"> </w:t>
      </w:r>
      <w:r w:rsidRPr="00E57B63">
        <w:t>išdėstytais principais ir vertin</w:t>
      </w:r>
      <w:r>
        <w:t>o</w:t>
      </w:r>
      <w:r w:rsidRPr="00E57B63">
        <w:t xml:space="preserve"> bylą atsižvelgdamas į konkrečias jos aplinkybes bei į toliau nurodytus </w:t>
      </w:r>
      <w:r w:rsidRPr="0017255F">
        <w:rPr>
          <w:u w:val="single"/>
        </w:rPr>
        <w:t>kumuliatyvius kriterijus: (a) informacijos prašymo tikslą; (b) prašomos informacijos pobūdį; (c) pareiškėjo vaidmenį; ir (d) tai, ar informacija buvo paruošta ir prieinama</w:t>
      </w:r>
      <w:r>
        <w:t>.</w:t>
      </w:r>
    </w:p>
    <w:p w14:paraId="19769EB2" w14:textId="77777777" w:rsidR="005A0365" w:rsidRDefault="005A0365" w:rsidP="005A0365">
      <w:pPr>
        <w:spacing w:after="0" w:line="240" w:lineRule="auto"/>
        <w:ind w:firstLine="567"/>
        <w:jc w:val="both"/>
      </w:pPr>
      <w:r>
        <w:t>Teismas pažymėjo, kad Lenkijos valdžios institucijos faktiškai neleido pareiškėjai NVO, gerai žinomai organizacijai, siekiančiai skleisti informaciją apie žmogaus teises ir teisinę valstybę, susipažinti su Konstitucinio Teismo teisėjų susitikimų žurnalais, kurie, atsižvelgiant į politinį kontekstą ir diskusijas dėl Konstitucinio Teismo nešališkumo, buvo laikomi viešojo intereso informacija. Šią informaciją Vyriausybei nebuvo sunku surinkti: prašomi susitikimų žurnalai egzistavo, todėl buvo „paruošti ir prieinami“.</w:t>
      </w:r>
    </w:p>
    <w:p w14:paraId="76B2D2A6" w14:textId="77777777" w:rsidR="005A0365" w:rsidRPr="0017255F" w:rsidRDefault="005A0365" w:rsidP="005A0365">
      <w:pPr>
        <w:spacing w:after="0" w:line="240" w:lineRule="auto"/>
        <w:ind w:firstLine="567"/>
        <w:jc w:val="both"/>
        <w:rPr>
          <w:u w:val="single"/>
        </w:rPr>
      </w:pPr>
      <w:r>
        <w:t xml:space="preserve">Todėl Teismas konstatavo, kad atsisakymas leisti susipažinti su susitikimų žurnalais pažeidė pareiškėjos NVO teisę gauti ir skleisti informaciją. Teismas pakartojo, kad </w:t>
      </w:r>
      <w:r w:rsidRPr="0017255F">
        <w:rPr>
          <w:u w:val="single"/>
        </w:rPr>
        <w:t xml:space="preserve">tiksli informacija yra visuomenės sargų (angl. </w:t>
      </w:r>
      <w:r w:rsidRPr="0017255F">
        <w:rPr>
          <w:i/>
          <w:iCs/>
          <w:u w:val="single"/>
        </w:rPr>
        <w:t>public watchdog’s</w:t>
      </w:r>
      <w:r w:rsidRPr="0017255F">
        <w:rPr>
          <w:u w:val="single"/>
        </w:rPr>
        <w:t>) veiklos įrankis.</w:t>
      </w:r>
    </w:p>
    <w:p w14:paraId="45482F27" w14:textId="525FD958" w:rsidR="005A0365" w:rsidRDefault="005A0365" w:rsidP="005A0365">
      <w:pPr>
        <w:spacing w:after="0" w:line="240" w:lineRule="auto"/>
        <w:ind w:firstLine="567"/>
        <w:jc w:val="both"/>
      </w:pPr>
      <w:r>
        <w:t xml:space="preserve">Nors toks teisės apribojimas buvo pagrįstas nacionaline teise, t. y. </w:t>
      </w:r>
      <w:r w:rsidR="00EE7BA1">
        <w:t>P</w:t>
      </w:r>
      <w:r>
        <w:t>rieigos prie viešosios informacijos įstatymu, jis buvo pagrįstas tik formaliomis priežastimis, susijusiomis su informacijos „viešuoju“ pobūdžiu. Nebuvo pateikta jokių argumentų, kuriais remiantis būtų galima apriboti prieigą prie informacijos, pavyzdžiui, dėl saugumo, valstybės paslapčių ar kitų asmenų privataus gyvenimo apsaugos, kad būtų galima įrodyti, jog atsisakymas suteikti prieigą siekė teisėto tikslo ar buvo „būtinas demokratinėje visuomenėje“.</w:t>
      </w:r>
    </w:p>
    <w:p w14:paraId="7D45C6F4" w14:textId="77777777" w:rsidR="005A0365" w:rsidRPr="009430C3" w:rsidRDefault="005A0365" w:rsidP="005A0365">
      <w:pPr>
        <w:spacing w:after="0" w:line="240" w:lineRule="auto"/>
        <w:ind w:firstLine="567"/>
        <w:jc w:val="both"/>
      </w:pPr>
      <w:r>
        <w:t>Todėl konstatuota, kad atsisakymas leisti NVO susipažinti su susitikimų žurnalais pažeidė Konvencijos 10 straipsnį.</w:t>
      </w:r>
    </w:p>
    <w:p w14:paraId="78EE6C08" w14:textId="77777777" w:rsidR="005A0365" w:rsidRDefault="005A0365" w:rsidP="005A0365">
      <w:pPr>
        <w:spacing w:after="0" w:line="240" w:lineRule="auto"/>
        <w:ind w:firstLine="567"/>
        <w:jc w:val="both"/>
        <w:rPr>
          <w:highlight w:val="darkGray"/>
        </w:rPr>
      </w:pPr>
      <w:r w:rsidRPr="001A6D88">
        <w:t xml:space="preserve">Tačiau </w:t>
      </w:r>
      <w:r>
        <w:t>Teismas</w:t>
      </w:r>
      <w:r w:rsidRPr="001A6D88">
        <w:t xml:space="preserve"> nusprendė, kad nebuvo pažeistas </w:t>
      </w:r>
      <w:r>
        <w:t xml:space="preserve">Konvencijos </w:t>
      </w:r>
      <w:r w:rsidRPr="001A6D88">
        <w:t xml:space="preserve">10 straipsnis, </w:t>
      </w:r>
      <w:r>
        <w:t xml:space="preserve">kiek tai </w:t>
      </w:r>
      <w:r w:rsidRPr="001A6D88">
        <w:t xml:space="preserve">susiję su galimybe susipažinti su įrašais apie patekimą į Konstitucinio Teismo pastatą. Konstitucinis Teismas informavo </w:t>
      </w:r>
      <w:r>
        <w:t>NVO</w:t>
      </w:r>
      <w:r w:rsidRPr="001A6D88">
        <w:t xml:space="preserve">, kad lankytojų registracijos žurnalo nėra, o nevyriausybinė organizacija pripažino, kad nėra galimybės veiksmingai patikrinti šį teiginį. Be to, kaip pažymėjo Vyriausiasis administracinis teismas, vidaus teisės aktuose nebuvo numatyta pareiga viešiesiems pastatams vesti tokį žurnalą. Nebuvo jokių įrodymų, kad NVO prašoma informacija buvo „paruošta ir prieinama“, todėl </w:t>
      </w:r>
      <w:r>
        <w:t>tai nepripažinta</w:t>
      </w:r>
      <w:r w:rsidRPr="001A6D88">
        <w:t xml:space="preserve"> kiš</w:t>
      </w:r>
      <w:r>
        <w:t>imu</w:t>
      </w:r>
      <w:r w:rsidRPr="001A6D88">
        <w:t>si į jos teisę gauti ar skleisti informaciją.</w:t>
      </w:r>
    </w:p>
    <w:p w14:paraId="6DB37699" w14:textId="77777777" w:rsidR="005A0365" w:rsidRDefault="005A0365" w:rsidP="005A0365">
      <w:pPr>
        <w:spacing w:after="0" w:line="240" w:lineRule="auto"/>
        <w:ind w:firstLine="567"/>
        <w:jc w:val="both"/>
        <w:rPr>
          <w:highlight w:val="darkGray"/>
        </w:rPr>
      </w:pPr>
    </w:p>
    <w:p w14:paraId="18D9C9FD" w14:textId="77777777" w:rsidR="005A0365" w:rsidRDefault="005A0365" w:rsidP="005A0365">
      <w:pPr>
        <w:spacing w:after="0" w:line="240" w:lineRule="auto"/>
        <w:ind w:right="-1" w:firstLine="567"/>
        <w:jc w:val="both"/>
        <w:rPr>
          <w:rFonts w:cstheme="minorHAnsi"/>
        </w:rPr>
      </w:pPr>
      <w:r w:rsidRPr="00D1455C">
        <w:rPr>
          <w:rFonts w:cstheme="minorHAnsi"/>
        </w:rPr>
        <w:t>Išvada</w:t>
      </w:r>
      <w:r>
        <w:rPr>
          <w:rFonts w:cstheme="minorHAnsi"/>
        </w:rPr>
        <w:t xml:space="preserve">: </w:t>
      </w:r>
      <w:r w:rsidRPr="004B5965">
        <w:rPr>
          <w:rFonts w:cstheme="minorHAnsi"/>
        </w:rPr>
        <w:t>pažeistas Konvencijos 10 straipsnis</w:t>
      </w:r>
      <w:r>
        <w:rPr>
          <w:rFonts w:cstheme="minorHAnsi"/>
        </w:rPr>
        <w:t xml:space="preserve"> dėl</w:t>
      </w:r>
      <w:r w:rsidRPr="004B5965">
        <w:rPr>
          <w:rFonts w:cstheme="minorHAnsi"/>
        </w:rPr>
        <w:t xml:space="preserve"> atsisakym</w:t>
      </w:r>
      <w:r>
        <w:rPr>
          <w:rFonts w:cstheme="minorHAnsi"/>
        </w:rPr>
        <w:t>o</w:t>
      </w:r>
      <w:r w:rsidRPr="004B5965">
        <w:rPr>
          <w:rFonts w:cstheme="minorHAnsi"/>
        </w:rPr>
        <w:t xml:space="preserve"> suteikti pareiškėjai NVO prieigą prie susitikimų </w:t>
      </w:r>
      <w:r>
        <w:rPr>
          <w:rFonts w:cstheme="minorHAnsi"/>
        </w:rPr>
        <w:t xml:space="preserve">žurnalų </w:t>
      </w:r>
      <w:r w:rsidRPr="00C170C3">
        <w:rPr>
          <w:rFonts w:ascii="Calibri" w:eastAsia="Calibri" w:hAnsi="Calibri" w:cs="Calibri"/>
        </w:rPr>
        <w:t>(6 balsai prieš 1)</w:t>
      </w:r>
      <w:r>
        <w:rPr>
          <w:rFonts w:ascii="Calibri" w:eastAsia="Calibri" w:hAnsi="Calibri" w:cs="Calibri"/>
        </w:rPr>
        <w:t xml:space="preserve">; </w:t>
      </w:r>
      <w:r w:rsidRPr="004B5965">
        <w:rPr>
          <w:rFonts w:cstheme="minorHAnsi"/>
        </w:rPr>
        <w:t>nebuvo pažeistas Konvencijos 10 straipsnis dėl atsisakymo suteikti pareiškėjai NVO prieigą prie atvykimo įrašų</w:t>
      </w:r>
      <w:r>
        <w:rPr>
          <w:rFonts w:cstheme="minorHAnsi"/>
        </w:rPr>
        <w:t xml:space="preserve"> (vienbalsiai). </w:t>
      </w:r>
    </w:p>
    <w:p w14:paraId="7626B2DE" w14:textId="77777777" w:rsidR="005A0365" w:rsidRPr="00C170C3" w:rsidRDefault="005A0365" w:rsidP="005A0365">
      <w:pPr>
        <w:spacing w:after="0" w:line="240" w:lineRule="auto"/>
        <w:ind w:right="-1" w:firstLine="567"/>
        <w:rPr>
          <w:rFonts w:ascii="Calibri" w:eastAsia="Calibri" w:hAnsi="Calibri" w:cs="Calibri"/>
        </w:rPr>
      </w:pPr>
      <w:r w:rsidRPr="00C170C3">
        <w:rPr>
          <w:rFonts w:ascii="Calibri" w:eastAsia="Calibri" w:hAnsi="Calibri" w:cs="Calibri"/>
        </w:rPr>
        <w:t>Pateikta atskiroji nuomonė.</w:t>
      </w:r>
    </w:p>
    <w:p w14:paraId="45A8E52F" w14:textId="77777777" w:rsidR="005A0365" w:rsidRDefault="005A0365" w:rsidP="005A0365">
      <w:pPr>
        <w:spacing w:after="0" w:line="240" w:lineRule="auto"/>
        <w:ind w:firstLine="567"/>
      </w:pPr>
      <w:hyperlink r:id="rId19" w:anchor="{%22itemid%22:[%22001-231616%22]}" w:history="1">
        <w:r>
          <w:rPr>
            <w:rStyle w:val="Hipersaitas"/>
          </w:rPr>
          <w:t>Prieiga internete</w:t>
        </w:r>
      </w:hyperlink>
      <w:r>
        <w:t xml:space="preserve"> </w:t>
      </w:r>
    </w:p>
    <w:p w14:paraId="31A02BA4" w14:textId="77777777" w:rsidR="005A0365" w:rsidRDefault="005A0365" w:rsidP="007E595E">
      <w:pPr>
        <w:pBdr>
          <w:top w:val="nil"/>
          <w:left w:val="nil"/>
          <w:bottom w:val="nil"/>
          <w:right w:val="nil"/>
          <w:between w:val="nil"/>
        </w:pBdr>
        <w:tabs>
          <w:tab w:val="left" w:pos="851"/>
        </w:tabs>
        <w:spacing w:after="0" w:line="240" w:lineRule="auto"/>
        <w:ind w:firstLine="567"/>
        <w:jc w:val="both"/>
      </w:pPr>
    </w:p>
    <w:p w14:paraId="21DD166A" w14:textId="77777777" w:rsidR="005A0365" w:rsidRDefault="005A0365" w:rsidP="005A0365">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 xml:space="preserve">Europos Žmogaus Teisių Teismo </w:t>
      </w:r>
      <w:r w:rsidRPr="007774CC">
        <w:rPr>
          <w:rFonts w:ascii="Calibri" w:eastAsia="Times New Roman" w:hAnsi="Calibri" w:cs="Calibri"/>
          <w:b/>
        </w:rPr>
        <w:t>202</w:t>
      </w:r>
      <w:r>
        <w:rPr>
          <w:rFonts w:ascii="Calibri" w:eastAsia="Times New Roman" w:hAnsi="Calibri" w:cs="Calibri"/>
          <w:b/>
        </w:rPr>
        <w:t>4</w:t>
      </w:r>
      <w:r w:rsidRPr="007774CC">
        <w:rPr>
          <w:rFonts w:ascii="Calibri" w:eastAsia="Times New Roman" w:hAnsi="Calibri" w:cs="Calibri"/>
          <w:b/>
        </w:rPr>
        <w:t xml:space="preserve"> m. </w:t>
      </w:r>
      <w:r>
        <w:rPr>
          <w:rFonts w:ascii="Calibri" w:eastAsia="Times New Roman" w:hAnsi="Calibri" w:cs="Calibri"/>
          <w:b/>
        </w:rPr>
        <w:t>balandžio 4 d</w:t>
      </w:r>
      <w:r w:rsidRPr="007774CC">
        <w:rPr>
          <w:rFonts w:ascii="Calibri" w:eastAsia="Times New Roman" w:hAnsi="Calibri" w:cs="Calibri"/>
          <w:b/>
        </w:rPr>
        <w:t xml:space="preserve">. sprendimas byloje </w:t>
      </w:r>
    </w:p>
    <w:p w14:paraId="39B1A119" w14:textId="77777777" w:rsidR="005A0365" w:rsidRPr="00142BEE" w:rsidRDefault="005A0365" w:rsidP="005A0365">
      <w:pPr>
        <w:keepNext/>
        <w:keepLines/>
        <w:spacing w:after="0" w:line="240" w:lineRule="auto"/>
        <w:jc w:val="center"/>
        <w:outlineLvl w:val="1"/>
        <w:rPr>
          <w:rFonts w:ascii="Calibri" w:eastAsia="Times New Roman" w:hAnsi="Calibri" w:cs="Times New Roman"/>
          <w:b/>
          <w:bCs/>
          <w:i/>
          <w:iCs/>
          <w:color w:val="2E74B5"/>
        </w:rPr>
      </w:pPr>
      <w:bookmarkStart w:id="37" w:name="_Toc181709505"/>
      <w:r w:rsidRPr="00B76F3A">
        <w:rPr>
          <w:rFonts w:ascii="Calibri" w:eastAsia="Times New Roman" w:hAnsi="Calibri" w:cs="Times New Roman"/>
          <w:b/>
          <w:bCs/>
          <w:i/>
          <w:iCs/>
          <w:color w:val="2E74B5"/>
        </w:rPr>
        <w:t>Zöldi</w:t>
      </w:r>
      <w:r>
        <w:rPr>
          <w:rFonts w:ascii="Calibri" w:eastAsia="Times New Roman" w:hAnsi="Calibri" w:cs="Times New Roman"/>
          <w:b/>
          <w:bCs/>
          <w:i/>
          <w:iCs/>
          <w:color w:val="2E74B5"/>
        </w:rPr>
        <w:t xml:space="preserve"> </w:t>
      </w:r>
      <w:r w:rsidRPr="00142BEE">
        <w:rPr>
          <w:rFonts w:ascii="Calibri" w:eastAsia="Times New Roman" w:hAnsi="Calibri" w:cs="Times New Roman"/>
          <w:b/>
          <w:bCs/>
          <w:i/>
          <w:iCs/>
          <w:color w:val="2E74B5"/>
        </w:rPr>
        <w:t xml:space="preserve">prieš </w:t>
      </w:r>
      <w:r>
        <w:rPr>
          <w:rFonts w:ascii="Calibri" w:eastAsia="Times New Roman" w:hAnsi="Calibri" w:cs="Times New Roman"/>
          <w:b/>
          <w:bCs/>
          <w:i/>
          <w:iCs/>
          <w:color w:val="2E74B5"/>
        </w:rPr>
        <w:t>Vengriją</w:t>
      </w:r>
      <w:bookmarkEnd w:id="37"/>
    </w:p>
    <w:p w14:paraId="6E7E0596" w14:textId="77777777" w:rsidR="005A0365" w:rsidRPr="003C00F2" w:rsidRDefault="005A0365" w:rsidP="005A0365">
      <w:pPr>
        <w:shd w:val="clear" w:color="auto" w:fill="FFFFFF"/>
        <w:spacing w:after="0" w:line="240" w:lineRule="auto"/>
        <w:ind w:right="-1"/>
        <w:jc w:val="center"/>
        <w:rPr>
          <w:rFonts w:ascii="Calibri" w:eastAsia="Calibri" w:hAnsi="Calibri" w:cs="Calibri"/>
          <w:b/>
        </w:rPr>
      </w:pPr>
      <w:r w:rsidRPr="0007243E">
        <w:rPr>
          <w:rFonts w:ascii="Calibri" w:eastAsia="Times New Roman" w:hAnsi="Calibri" w:cs="Calibri"/>
          <w:b/>
        </w:rPr>
        <w:t>(pareiškim</w:t>
      </w:r>
      <w:r>
        <w:rPr>
          <w:rFonts w:ascii="Calibri" w:eastAsia="Times New Roman" w:hAnsi="Calibri" w:cs="Calibri"/>
          <w:b/>
        </w:rPr>
        <w:t>o</w:t>
      </w:r>
      <w:r w:rsidRPr="0007243E">
        <w:rPr>
          <w:rFonts w:ascii="Calibri" w:eastAsia="Times New Roman" w:hAnsi="Calibri" w:cs="Calibri"/>
          <w:b/>
        </w:rPr>
        <w:t xml:space="preserve"> Nr. </w:t>
      </w:r>
      <w:r w:rsidRPr="00B76F3A">
        <w:rPr>
          <w:rFonts w:ascii="Calibri" w:eastAsia="Times New Roman" w:hAnsi="Calibri" w:cs="Calibri"/>
          <w:b/>
        </w:rPr>
        <w:t>49049/18</w:t>
      </w:r>
      <w:r w:rsidRPr="00597151">
        <w:rPr>
          <w:rFonts w:ascii="Calibri" w:eastAsia="Calibri" w:hAnsi="Calibri" w:cs="Calibri"/>
          <w:b/>
        </w:rPr>
        <w:t xml:space="preserve">, svarbos lygis – </w:t>
      </w:r>
      <w:r>
        <w:rPr>
          <w:rFonts w:ascii="Calibri" w:eastAsia="Calibri" w:hAnsi="Calibri" w:cs="Calibri"/>
          <w:b/>
        </w:rPr>
        <w:t>2</w:t>
      </w:r>
      <w:r w:rsidRPr="00597151">
        <w:rPr>
          <w:rFonts w:ascii="Calibri" w:eastAsia="Times New Roman" w:hAnsi="Calibri" w:cs="Calibri"/>
          <w:b/>
        </w:rPr>
        <w:t>)</w:t>
      </w:r>
    </w:p>
    <w:p w14:paraId="73A92C99" w14:textId="77777777" w:rsidR="005A0365" w:rsidRPr="0007243E" w:rsidRDefault="005A0365" w:rsidP="005A0365">
      <w:pPr>
        <w:shd w:val="clear" w:color="auto" w:fill="FFFFFF"/>
        <w:spacing w:after="0" w:line="240" w:lineRule="auto"/>
        <w:ind w:right="-1" w:firstLine="567"/>
        <w:jc w:val="center"/>
        <w:rPr>
          <w:rFonts w:ascii="Calibri" w:eastAsia="Times New Roman" w:hAnsi="Calibri" w:cs="Calibri"/>
          <w:b/>
          <w:bCs/>
          <w:color w:val="000000"/>
        </w:rPr>
      </w:pPr>
    </w:p>
    <w:p w14:paraId="3C20D302" w14:textId="77777777" w:rsidR="005A0365" w:rsidRPr="00734E33" w:rsidRDefault="005A0365" w:rsidP="005A0365">
      <w:pPr>
        <w:keepNext/>
        <w:keepLines/>
        <w:spacing w:after="0" w:line="240" w:lineRule="auto"/>
        <w:ind w:right="-1" w:firstLine="567"/>
        <w:jc w:val="both"/>
        <w:outlineLvl w:val="2"/>
        <w:rPr>
          <w:rFonts w:ascii="Calibri" w:eastAsia="Calibri" w:hAnsi="Calibri" w:cs="Calibri"/>
          <w:bCs/>
          <w:i/>
          <w:iCs/>
        </w:rPr>
      </w:pPr>
      <w:bookmarkStart w:id="38" w:name="_Toc181709506"/>
      <w:r w:rsidRPr="00B7664F">
        <w:rPr>
          <w:rFonts w:ascii="Calibri" w:eastAsia="Calibri" w:hAnsi="Calibri" w:cs="Calibri"/>
          <w:bCs/>
          <w:i/>
          <w:iCs/>
        </w:rPr>
        <w:t>Dėl teisės</w:t>
      </w:r>
      <w:r>
        <w:rPr>
          <w:rFonts w:ascii="Calibri" w:eastAsia="Calibri" w:hAnsi="Calibri" w:cs="Calibri"/>
          <w:bCs/>
          <w:i/>
          <w:iCs/>
        </w:rPr>
        <w:t xml:space="preserve"> gauti informaciją apie viešųjų lėšų gavėjų tapatybę žurnalistikos tikslais</w:t>
      </w:r>
      <w:bookmarkEnd w:id="38"/>
    </w:p>
    <w:p w14:paraId="524BBD15" w14:textId="77777777" w:rsidR="005A0365" w:rsidRPr="00734E33" w:rsidRDefault="005A0365" w:rsidP="005A0365">
      <w:pPr>
        <w:shd w:val="clear" w:color="auto" w:fill="FFFFFF"/>
        <w:spacing w:after="0" w:line="240" w:lineRule="auto"/>
        <w:ind w:right="-1"/>
        <w:jc w:val="center"/>
        <w:rPr>
          <w:rFonts w:ascii="Calibri" w:eastAsia="Times New Roman" w:hAnsi="Calibri" w:cs="Calibri"/>
          <w:b/>
          <w:bCs/>
          <w:color w:val="000000"/>
        </w:rPr>
      </w:pPr>
    </w:p>
    <w:p w14:paraId="3EA1A1CD" w14:textId="77777777" w:rsidR="005A0365" w:rsidRPr="00734E33" w:rsidRDefault="005A0365" w:rsidP="005A0365">
      <w:pPr>
        <w:shd w:val="clear" w:color="auto" w:fill="FFFFFF"/>
        <w:spacing w:after="0" w:line="240" w:lineRule="auto"/>
        <w:ind w:right="-1"/>
        <w:jc w:val="center"/>
        <w:rPr>
          <w:rFonts w:ascii="Calibri" w:eastAsia="Times New Roman" w:hAnsi="Calibri" w:cs="Calibri"/>
          <w:b/>
          <w:bCs/>
          <w:color w:val="000000"/>
        </w:rPr>
      </w:pPr>
      <w:r w:rsidRPr="00734E33">
        <w:rPr>
          <w:rFonts w:ascii="Calibri" w:eastAsia="Times New Roman" w:hAnsi="Calibri" w:cs="Calibri"/>
          <w:b/>
          <w:bCs/>
          <w:color w:val="000000"/>
        </w:rPr>
        <w:t>Faktinės aplinkybės</w:t>
      </w:r>
    </w:p>
    <w:p w14:paraId="59C900C6" w14:textId="77777777" w:rsidR="005A0365" w:rsidRDefault="005A0365" w:rsidP="005A0365">
      <w:pPr>
        <w:spacing w:after="0" w:line="240" w:lineRule="auto"/>
        <w:ind w:right="-1" w:firstLine="567"/>
        <w:rPr>
          <w:rFonts w:ascii="Calibri" w:eastAsia="Calibri" w:hAnsi="Calibri" w:cs="Calibri"/>
        </w:rPr>
      </w:pPr>
    </w:p>
    <w:p w14:paraId="0F2F9AD4" w14:textId="0A67A73E" w:rsidR="005A0365" w:rsidRDefault="005A0365" w:rsidP="005A0365">
      <w:pPr>
        <w:spacing w:after="0" w:line="240" w:lineRule="auto"/>
        <w:ind w:firstLine="567"/>
        <w:jc w:val="both"/>
        <w:rPr>
          <w:rFonts w:ascii="Calibri" w:eastAsia="Calibri" w:hAnsi="Calibri" w:cs="Calibri"/>
        </w:rPr>
      </w:pPr>
      <w:r w:rsidRPr="00435E6E">
        <w:rPr>
          <w:rFonts w:ascii="Calibri" w:eastAsia="Calibri" w:hAnsi="Calibri" w:cs="Calibri"/>
        </w:rPr>
        <w:t>2013</w:t>
      </w:r>
      <w:r w:rsidR="00EE7BA1">
        <w:rPr>
          <w:rFonts w:ascii="Calibri" w:eastAsia="Calibri" w:hAnsi="Calibri" w:cs="Calibri"/>
        </w:rPr>
        <w:t>–</w:t>
      </w:r>
      <w:r w:rsidRPr="00435E6E">
        <w:rPr>
          <w:rFonts w:ascii="Calibri" w:eastAsia="Calibri" w:hAnsi="Calibri" w:cs="Calibri"/>
        </w:rPr>
        <w:t xml:space="preserve">2014 m. Vengrijos nacionalinis bankas įsteigė šešis fondus, kurie remia švietimą, mokslinius tyrimus, dalijimąsi žiniomis ir susijusią veiklą keliose srityse, daugiausia ekonomikos. Vengrijos nacionalinis bankas, kuris yra visiškai valstybei priklausantis subjektas, fondams skyrė daug lėšų ir turto. Šių fondų įsteigimo tikslas ir jų išlaidos daugelį metų išliko viešų diskusijų centre, nes jie buvo susiję su valstybės lėšų naudojimu. </w:t>
      </w:r>
    </w:p>
    <w:p w14:paraId="305363E6" w14:textId="77777777" w:rsidR="005A0365" w:rsidRPr="007804D7" w:rsidRDefault="005A0365" w:rsidP="005A0365">
      <w:pPr>
        <w:spacing w:after="0" w:line="240" w:lineRule="auto"/>
        <w:ind w:firstLine="567"/>
        <w:jc w:val="both"/>
        <w:rPr>
          <w:rFonts w:ascii="Calibri" w:eastAsia="Calibri" w:hAnsi="Calibri" w:cs="Calibri"/>
        </w:rPr>
      </w:pPr>
      <w:r w:rsidRPr="00435E6E">
        <w:rPr>
          <w:rFonts w:ascii="Calibri" w:eastAsia="Calibri" w:hAnsi="Calibri" w:cs="Calibri"/>
        </w:rPr>
        <w:t>Pareiškėja yra tiriamosios žurnalistikos atstov</w:t>
      </w:r>
      <w:r>
        <w:rPr>
          <w:rFonts w:ascii="Calibri" w:eastAsia="Calibri" w:hAnsi="Calibri" w:cs="Calibri"/>
        </w:rPr>
        <w:t>ė</w:t>
      </w:r>
      <w:r w:rsidRPr="00435E6E">
        <w:rPr>
          <w:rFonts w:ascii="Calibri" w:eastAsia="Calibri" w:hAnsi="Calibri" w:cs="Calibri"/>
        </w:rPr>
        <w:t>.</w:t>
      </w:r>
      <w:r>
        <w:rPr>
          <w:rFonts w:ascii="Calibri" w:eastAsia="Calibri" w:hAnsi="Calibri" w:cs="Calibri"/>
        </w:rPr>
        <w:t xml:space="preserve"> J</w:t>
      </w:r>
      <w:r w:rsidRPr="007804D7">
        <w:rPr>
          <w:rFonts w:ascii="Calibri" w:eastAsia="Calibri" w:hAnsi="Calibri" w:cs="Calibri"/>
        </w:rPr>
        <w:t>i prašė dviejų Vengrijos nacionalinio banko įsteigtų fondų pateikti tam tikrą informaciją</w:t>
      </w:r>
      <w:r>
        <w:rPr>
          <w:rFonts w:ascii="Calibri" w:eastAsia="Calibri" w:hAnsi="Calibri" w:cs="Calibri"/>
        </w:rPr>
        <w:t>,</w:t>
      </w:r>
      <w:r w:rsidRPr="007804D7">
        <w:rPr>
          <w:rFonts w:ascii="Calibri" w:eastAsia="Calibri" w:hAnsi="Calibri" w:cs="Calibri"/>
        </w:rPr>
        <w:t xml:space="preserve"> susij</w:t>
      </w:r>
      <w:r>
        <w:rPr>
          <w:rFonts w:ascii="Calibri" w:eastAsia="Calibri" w:hAnsi="Calibri" w:cs="Calibri"/>
        </w:rPr>
        <w:t>u</w:t>
      </w:r>
      <w:r w:rsidRPr="007804D7">
        <w:rPr>
          <w:rFonts w:ascii="Calibri" w:eastAsia="Calibri" w:hAnsi="Calibri" w:cs="Calibri"/>
        </w:rPr>
        <w:t>s</w:t>
      </w:r>
      <w:r>
        <w:rPr>
          <w:rFonts w:ascii="Calibri" w:eastAsia="Calibri" w:hAnsi="Calibri" w:cs="Calibri"/>
        </w:rPr>
        <w:t>ią</w:t>
      </w:r>
      <w:r w:rsidRPr="007804D7">
        <w:rPr>
          <w:rFonts w:ascii="Calibri" w:eastAsia="Calibri" w:hAnsi="Calibri" w:cs="Calibri"/>
        </w:rPr>
        <w:t xml:space="preserve"> su šių fondų paskelbtais kvietimais teikti paraiškas, kuriais </w:t>
      </w:r>
      <w:r w:rsidRPr="007804D7">
        <w:rPr>
          <w:rFonts w:ascii="Calibri" w:eastAsia="Calibri" w:hAnsi="Calibri" w:cs="Calibri"/>
        </w:rPr>
        <w:lastRenderedPageBreak/>
        <w:t xml:space="preserve">siekiama finansuoti doktorantūros stipendijas, mokslininkų mobilumą, konferencijas, leidinius ir mokslinių tyrimų programas. Pareiškėja, </w:t>
      </w:r>
      <w:r w:rsidRPr="007804D7">
        <w:rPr>
          <w:rFonts w:ascii="Calibri" w:eastAsia="Calibri" w:hAnsi="Calibri" w:cs="Calibri"/>
          <w:i/>
          <w:iCs/>
        </w:rPr>
        <w:t>inter alia</w:t>
      </w:r>
      <w:r w:rsidRPr="007804D7">
        <w:rPr>
          <w:rFonts w:ascii="Calibri" w:eastAsia="Calibri" w:hAnsi="Calibri" w:cs="Calibri"/>
        </w:rPr>
        <w:t xml:space="preserve">, prašė nurodyti asmenų, gavusių dotacijas pagal kiekvieną kvietimą teikti paraiškas, vardus ir pavardes, jų gautas pinigų sumas ir </w:t>
      </w:r>
      <w:r>
        <w:rPr>
          <w:rFonts w:ascii="Calibri" w:eastAsia="Calibri" w:hAnsi="Calibri" w:cs="Calibri"/>
        </w:rPr>
        <w:t>finansuojamą</w:t>
      </w:r>
      <w:r w:rsidRPr="007804D7">
        <w:rPr>
          <w:rFonts w:ascii="Calibri" w:eastAsia="Calibri" w:hAnsi="Calibri" w:cs="Calibri"/>
        </w:rPr>
        <w:t xml:space="preserve"> veiklą. Remdamasi gauta informacija ji ketino parašyti straipsnį.</w:t>
      </w:r>
    </w:p>
    <w:p w14:paraId="0A2C40D4" w14:textId="77777777" w:rsidR="005A0365" w:rsidRDefault="005A0365" w:rsidP="005A0365">
      <w:pPr>
        <w:spacing w:after="0" w:line="240" w:lineRule="auto"/>
        <w:ind w:firstLine="567"/>
        <w:jc w:val="both"/>
        <w:rPr>
          <w:rFonts w:ascii="Calibri" w:eastAsia="Calibri" w:hAnsi="Calibri" w:cs="Calibri"/>
        </w:rPr>
      </w:pPr>
      <w:r w:rsidRPr="007804D7">
        <w:rPr>
          <w:rFonts w:ascii="Calibri" w:eastAsia="Calibri" w:hAnsi="Calibri" w:cs="Calibri"/>
        </w:rPr>
        <w:t>Fondams atsisakius atskleisti prašomą informaciją, pareiškėja kreipėsi į teism</w:t>
      </w:r>
      <w:r>
        <w:rPr>
          <w:rFonts w:ascii="Calibri" w:eastAsia="Calibri" w:hAnsi="Calibri" w:cs="Calibri"/>
        </w:rPr>
        <w:t>us</w:t>
      </w:r>
      <w:r w:rsidRPr="007804D7">
        <w:rPr>
          <w:rFonts w:ascii="Calibri" w:eastAsia="Calibri" w:hAnsi="Calibri" w:cs="Calibri"/>
        </w:rPr>
        <w:t>, kuri</w:t>
      </w:r>
      <w:r>
        <w:rPr>
          <w:rFonts w:ascii="Calibri" w:eastAsia="Calibri" w:hAnsi="Calibri" w:cs="Calibri"/>
        </w:rPr>
        <w:t>e</w:t>
      </w:r>
      <w:r w:rsidRPr="007804D7">
        <w:rPr>
          <w:rFonts w:ascii="Calibri" w:eastAsia="Calibri" w:hAnsi="Calibri" w:cs="Calibri"/>
        </w:rPr>
        <w:t xml:space="preserve"> patvirtino atsisakymą, nes tuo metu nebuvo jokios konkrečios teisinės nuostatos, leidžiančios atskleisti tokius asmens duomenis.</w:t>
      </w:r>
    </w:p>
    <w:p w14:paraId="5EBFC96C" w14:textId="77777777" w:rsidR="005A0365" w:rsidRDefault="005A0365" w:rsidP="005A0365">
      <w:pPr>
        <w:spacing w:after="0" w:line="240" w:lineRule="auto"/>
        <w:ind w:firstLine="567"/>
        <w:jc w:val="both"/>
        <w:rPr>
          <w:rFonts w:ascii="Calibri" w:eastAsia="Calibri" w:hAnsi="Calibri" w:cs="Calibri"/>
        </w:rPr>
      </w:pPr>
      <w:r w:rsidRPr="00DE3E7A">
        <w:rPr>
          <w:rFonts w:ascii="Calibri" w:eastAsia="Calibri" w:hAnsi="Calibri" w:cs="Calibri"/>
        </w:rPr>
        <w:t xml:space="preserve">Remdamasi </w:t>
      </w:r>
      <w:r>
        <w:rPr>
          <w:rFonts w:ascii="Calibri" w:eastAsia="Calibri" w:hAnsi="Calibri" w:cs="Calibri"/>
        </w:rPr>
        <w:t>K</w:t>
      </w:r>
      <w:r w:rsidRPr="00DE3E7A">
        <w:rPr>
          <w:rFonts w:ascii="Calibri" w:eastAsia="Calibri" w:hAnsi="Calibri" w:cs="Calibri"/>
        </w:rPr>
        <w:t xml:space="preserve">onvencijos 10 straipsniu (saviraiškos laisvė), </w:t>
      </w:r>
      <w:r>
        <w:rPr>
          <w:rFonts w:ascii="Calibri" w:eastAsia="Calibri" w:hAnsi="Calibri" w:cs="Calibri"/>
        </w:rPr>
        <w:t>pareiškėja</w:t>
      </w:r>
      <w:r w:rsidRPr="00DE3E7A">
        <w:rPr>
          <w:rFonts w:ascii="Calibri" w:eastAsia="Calibri" w:hAnsi="Calibri" w:cs="Calibri"/>
        </w:rPr>
        <w:t xml:space="preserve"> skund</w:t>
      </w:r>
      <w:r>
        <w:rPr>
          <w:rFonts w:ascii="Calibri" w:eastAsia="Calibri" w:hAnsi="Calibri" w:cs="Calibri"/>
        </w:rPr>
        <w:t>ėsi EŽTT</w:t>
      </w:r>
      <w:r w:rsidRPr="00DE3E7A">
        <w:rPr>
          <w:rFonts w:ascii="Calibri" w:eastAsia="Calibri" w:hAnsi="Calibri" w:cs="Calibri"/>
        </w:rPr>
        <w:t>, kad ji negalėjo gauti informacijos apie Vengrijos nacionalinio banko įsteigtų fondų dotacijų gavėjų tapatybę.</w:t>
      </w:r>
    </w:p>
    <w:p w14:paraId="7E9F2E37" w14:textId="77777777" w:rsidR="005A0365" w:rsidRPr="0089498E" w:rsidRDefault="005A0365" w:rsidP="005A0365">
      <w:pPr>
        <w:spacing w:after="0" w:line="240" w:lineRule="auto"/>
        <w:ind w:firstLine="567"/>
        <w:jc w:val="both"/>
      </w:pPr>
    </w:p>
    <w:p w14:paraId="3BBCE918" w14:textId="77777777" w:rsidR="005A0365" w:rsidRPr="0089498E" w:rsidRDefault="005A0365" w:rsidP="005A0365">
      <w:pPr>
        <w:shd w:val="clear" w:color="auto" w:fill="FFFFFF"/>
        <w:spacing w:after="0" w:line="240" w:lineRule="auto"/>
        <w:ind w:right="-1"/>
        <w:jc w:val="center"/>
        <w:rPr>
          <w:rFonts w:ascii="Calibri" w:eastAsia="Times New Roman" w:hAnsi="Calibri" w:cs="Calibri"/>
          <w:b/>
          <w:bCs/>
          <w:color w:val="000000"/>
        </w:rPr>
      </w:pPr>
      <w:r w:rsidRPr="0089498E">
        <w:rPr>
          <w:rFonts w:ascii="Calibri" w:eastAsia="Times New Roman" w:hAnsi="Calibri" w:cs="Calibri"/>
          <w:b/>
          <w:bCs/>
          <w:color w:val="000000"/>
        </w:rPr>
        <w:t>Neoficiali Teismo sprendimo apžvalga</w:t>
      </w:r>
    </w:p>
    <w:p w14:paraId="594713F6" w14:textId="77777777" w:rsidR="005A0365" w:rsidRDefault="005A0365" w:rsidP="005A0365">
      <w:pPr>
        <w:spacing w:after="0" w:line="240" w:lineRule="auto"/>
        <w:ind w:firstLine="567"/>
      </w:pPr>
    </w:p>
    <w:p w14:paraId="16D5A0D5" w14:textId="77777777" w:rsidR="005A0365" w:rsidRDefault="005A0365" w:rsidP="005A0365">
      <w:pPr>
        <w:spacing w:after="0" w:line="240" w:lineRule="auto"/>
        <w:ind w:firstLine="567"/>
        <w:jc w:val="both"/>
      </w:pPr>
      <w:r w:rsidRPr="008B5141">
        <w:t>Teismas man</w:t>
      </w:r>
      <w:r>
        <w:t>ė</w:t>
      </w:r>
      <w:r w:rsidRPr="008B5141">
        <w:t xml:space="preserve">, kad neleisdamos pareiškėjai susipažinti su prašoma informacija vidaus institucijos </w:t>
      </w:r>
      <w:r>
        <w:t>apribojo</w:t>
      </w:r>
      <w:r w:rsidRPr="008B5141">
        <w:t xml:space="preserve"> jos teises pagal Konvencijos 10 straipsnio 1 dalį.</w:t>
      </w:r>
    </w:p>
    <w:p w14:paraId="1C87C467" w14:textId="77777777" w:rsidR="005A0365" w:rsidRDefault="005A0365" w:rsidP="005A0365">
      <w:pPr>
        <w:spacing w:after="0" w:line="240" w:lineRule="auto"/>
        <w:ind w:firstLine="567"/>
        <w:jc w:val="both"/>
      </w:pPr>
      <w:r>
        <w:t xml:space="preserve">Dėl tokio ribojimo teisėtumo Teismas pažymėjo, jog ginčijami atsisakymai leisti susipažinti su fondų dotacijų gavėjų pavardėmis buvo grindžiami Duomenų apsaugos įstatymo nuostatomis, todėl ribojimas gali būti laikomas teisėtu. Dėl priemonės teisėto tikslo Teismas atkreipė dėmesį į Vyriausybės argumentą, kad pareiškėjos teisės apribojimas tarnavo teisėtam tikslui apsaugoti kitų asmenų teises (užtikrinti dotacijų gavėjų teisę į asmens duomenų apsaugą). </w:t>
      </w:r>
    </w:p>
    <w:p w14:paraId="1F865FAA" w14:textId="77777777" w:rsidR="005A0365" w:rsidRDefault="005A0365" w:rsidP="005A0365">
      <w:pPr>
        <w:spacing w:after="0" w:line="240" w:lineRule="auto"/>
        <w:ind w:firstLine="567"/>
        <w:jc w:val="both"/>
      </w:pPr>
      <w:r>
        <w:t xml:space="preserve">Galiausiai Teismas siekė nustatyti, </w:t>
      </w:r>
      <w:r w:rsidRPr="00E67BA2">
        <w:t>ar pareiškėjo</w:t>
      </w:r>
      <w:r>
        <w:t>s</w:t>
      </w:r>
      <w:r w:rsidRPr="00E67BA2">
        <w:t xml:space="preserve"> teisės gauti informaciją apribojimas buvo </w:t>
      </w:r>
      <w:r>
        <w:t>„</w:t>
      </w:r>
      <w:r w:rsidRPr="00E67BA2">
        <w:t>būtinas demokratinėje visuomenėje</w:t>
      </w:r>
      <w:r>
        <w:t>“</w:t>
      </w:r>
      <w:r w:rsidRPr="00E67BA2">
        <w:t>.</w:t>
      </w:r>
      <w:r>
        <w:t xml:space="preserve"> Teismas sprendė</w:t>
      </w:r>
      <w:r w:rsidRPr="00FB3AA3">
        <w:t>, ar šioje byloje interesas apsaugoti stipendijų gavėjų vardus buvo tokio pobūdžio ir laipsnio, kad būtų galima pateisinti Konvencijos 8 straipsnio taikymą</w:t>
      </w:r>
      <w:r>
        <w:t xml:space="preserve">. Priminta ankstesnė praktika, </w:t>
      </w:r>
      <w:r w:rsidRPr="004A07ED">
        <w:t xml:space="preserve">kad </w:t>
      </w:r>
      <w:r w:rsidRPr="004A07ED">
        <w:rPr>
          <w:u w:val="single"/>
        </w:rPr>
        <w:t>asmens pagrįsti lūkesčiai dėl privatumo gali būti svarbus veiksnys vertinant, ar asmens privatus gyvenimas yra susijęs su priemonėmis, taikomomis ne jo namuose ar privačiose patalpose</w:t>
      </w:r>
      <w:r w:rsidRPr="004A07ED">
        <w:t>. Teismas taip pat atsižvelgė į nagrinėjamų duomenų pobūdį ir galimą informacijos atskleidimo poveikį atitinkamų asmenų privačiam gyvenimui.</w:t>
      </w:r>
    </w:p>
    <w:p w14:paraId="0110B1BC" w14:textId="77777777" w:rsidR="005A0365" w:rsidRDefault="005A0365" w:rsidP="005A0365">
      <w:pPr>
        <w:spacing w:after="0" w:line="240" w:lineRule="auto"/>
        <w:ind w:firstLine="567"/>
        <w:jc w:val="both"/>
      </w:pPr>
      <w:r w:rsidRPr="004A07ED">
        <w:t xml:space="preserve">Šiuo atveju, nors prašomuose duomenyse buvo nurodyti dotacijų gavėjų vardai ir pavardės, jų tapatybė buvo svarbi tik kaip viešųjų lėšų </w:t>
      </w:r>
      <w:r>
        <w:t>„</w:t>
      </w:r>
      <w:r w:rsidRPr="004A07ED">
        <w:t>gavėjų</w:t>
      </w:r>
      <w:r>
        <w:t>“</w:t>
      </w:r>
      <w:r w:rsidRPr="004A07ED">
        <w:t>, t. y. viešųjų lėšų skyrimo aspektu. Vyriausybė nepateikė jokių argumentų, išskyrus nuorodą į valstybės įsipareigojimus duomenų apsaugos srityje, kaip dotacijų gavėjų vardų ir pavardžių atskleidimas paveiktų jų privataus gyvenimo apsaugą. Be to, Teismas taip pat atkreip</w:t>
      </w:r>
      <w:r>
        <w:t>ė</w:t>
      </w:r>
      <w:r w:rsidRPr="004A07ED">
        <w:t xml:space="preserve"> dėmesį į tai, kad skaidrumas skirstant valstybės lėšas yra svarbus konstitucinis principas, o Duomenų apsaugos įstatyme ir kituose teisės aktuose numatyta atskleisti duomenis, susijusius su valstybės lėšų valdymu ir skirstymu, tarp kurių gali būti ir jas gaunančių asmenų asmens duomenys. Atsižvelgiant į tai, </w:t>
      </w:r>
      <w:r w:rsidRPr="004A07ED">
        <w:rPr>
          <w:u w:val="single"/>
        </w:rPr>
        <w:t>būtų sunku teigti, kad dotacijų gavėjai, pasinaudoję bet kuriuo iš fondų paskelbtų kvietimų teikti paraiškas finansavimui gauti, negalėjo tikėtis, kad jų, kaip viešųjų lėšų gavėjų, vardai ir pavardės gali būti viešai atskleisti</w:t>
      </w:r>
      <w:r w:rsidRPr="004A07ED">
        <w:t>. Atsižvelg</w:t>
      </w:r>
      <w:r>
        <w:t>ę</w:t>
      </w:r>
      <w:r w:rsidRPr="004A07ED">
        <w:t>s į šias aplinkybes, Teismas man</w:t>
      </w:r>
      <w:r>
        <w:t>ė</w:t>
      </w:r>
      <w:r w:rsidRPr="004A07ED">
        <w:t>, kad kitų asmenų teisių apsaugos interesai nėra tokio pobūdžio ir laipsnio, kad būtų pateisinama taikyti 8 straipsnį ir jį panaudoti pusiausvyroje su pareiškėjo</w:t>
      </w:r>
      <w:r>
        <w:t>s</w:t>
      </w:r>
      <w:r w:rsidRPr="004A07ED">
        <w:t xml:space="preserve"> teise į saviraiškos laisvę.</w:t>
      </w:r>
    </w:p>
    <w:p w14:paraId="787F3CE1" w14:textId="77777777" w:rsidR="005A0365" w:rsidRDefault="005A0365" w:rsidP="005A0365">
      <w:pPr>
        <w:spacing w:after="0" w:line="240" w:lineRule="auto"/>
        <w:ind w:firstLine="567"/>
        <w:jc w:val="both"/>
      </w:pPr>
      <w:r w:rsidRPr="0004182E">
        <w:t xml:space="preserve">Teismas </w:t>
      </w:r>
      <w:r>
        <w:t>pažymėjo</w:t>
      </w:r>
      <w:r w:rsidRPr="0004182E">
        <w:t xml:space="preserve">, kad prašymas suteikti informaciją, kuriuo </w:t>
      </w:r>
      <w:r>
        <w:t xml:space="preserve">buvo </w:t>
      </w:r>
      <w:r w:rsidRPr="0004182E">
        <w:t>siekiama prisidėti prie mokesčių mokėtojų pinigų paskirstymo skaidrumo, akivaizdžiai atitinka viešojo intereso kriterijų. Pareiškėja, žurnalistė, prašė atitinkamų duomenų, nes ketino pasinaudoti savo informacijos laisve ir prisidėti prie viešos diskusijos didelio visuomenės susidomėjimo klausimu.</w:t>
      </w:r>
    </w:p>
    <w:p w14:paraId="444F7DCC" w14:textId="77777777" w:rsidR="005A0365" w:rsidRDefault="005A0365" w:rsidP="005A0365">
      <w:pPr>
        <w:spacing w:after="0" w:line="240" w:lineRule="auto"/>
        <w:ind w:firstLine="567"/>
        <w:jc w:val="both"/>
        <w:rPr>
          <w:highlight w:val="darkGray"/>
        </w:rPr>
      </w:pPr>
    </w:p>
    <w:p w14:paraId="3899DC71" w14:textId="77777777" w:rsidR="005A0365" w:rsidRDefault="005A0365" w:rsidP="005A0365">
      <w:pPr>
        <w:spacing w:after="0" w:line="240" w:lineRule="auto"/>
        <w:ind w:right="-1" w:firstLine="567"/>
        <w:jc w:val="both"/>
        <w:rPr>
          <w:rFonts w:cstheme="minorHAnsi"/>
        </w:rPr>
      </w:pPr>
      <w:r w:rsidRPr="00D1455C">
        <w:rPr>
          <w:rFonts w:cstheme="minorHAnsi"/>
        </w:rPr>
        <w:t>Išvada</w:t>
      </w:r>
      <w:r>
        <w:rPr>
          <w:rFonts w:cstheme="minorHAnsi"/>
        </w:rPr>
        <w:t xml:space="preserve">: </w:t>
      </w:r>
      <w:r w:rsidRPr="004B5965">
        <w:rPr>
          <w:rFonts w:cstheme="minorHAnsi"/>
        </w:rPr>
        <w:t>pažeistas Konvencijos 10 straipsnis</w:t>
      </w:r>
      <w:r>
        <w:rPr>
          <w:rFonts w:cstheme="minorHAnsi"/>
        </w:rPr>
        <w:t xml:space="preserve"> (vienbalsiai). </w:t>
      </w:r>
    </w:p>
    <w:p w14:paraId="01AAB305" w14:textId="77777777" w:rsidR="005A0365" w:rsidRDefault="005A0365" w:rsidP="005A0365">
      <w:pPr>
        <w:spacing w:after="0" w:line="240" w:lineRule="auto"/>
        <w:ind w:right="-1" w:firstLine="567"/>
        <w:jc w:val="both"/>
        <w:rPr>
          <w:rFonts w:cstheme="minorHAnsi"/>
        </w:rPr>
      </w:pPr>
      <w:r w:rsidRPr="00C905E0">
        <w:rPr>
          <w:rFonts w:cstheme="minorHAnsi"/>
        </w:rPr>
        <w:t>41 straipsnis: pareiškėja</w:t>
      </w:r>
      <w:r>
        <w:rPr>
          <w:rFonts w:cstheme="minorHAnsi"/>
        </w:rPr>
        <w:t>i</w:t>
      </w:r>
      <w:r w:rsidRPr="00C905E0">
        <w:rPr>
          <w:rFonts w:cstheme="minorHAnsi"/>
        </w:rPr>
        <w:t xml:space="preserve"> priteista </w:t>
      </w:r>
      <w:r>
        <w:rPr>
          <w:rFonts w:cstheme="minorHAnsi"/>
        </w:rPr>
        <w:t>1 000</w:t>
      </w:r>
      <w:r w:rsidRPr="00C905E0">
        <w:rPr>
          <w:rFonts w:cstheme="minorHAnsi"/>
        </w:rPr>
        <w:t xml:space="preserve"> Eur neturtinei žalai atlyginti.</w:t>
      </w:r>
    </w:p>
    <w:p w14:paraId="0CA283BD" w14:textId="77777777" w:rsidR="005A0365" w:rsidRDefault="005A0365" w:rsidP="005A0365">
      <w:pPr>
        <w:spacing w:after="0" w:line="240" w:lineRule="auto"/>
        <w:ind w:firstLine="567"/>
      </w:pPr>
      <w:hyperlink r:id="rId20" w:anchor="{%22itemid%22:[%22001-231872%22]}" w:history="1">
        <w:r>
          <w:rPr>
            <w:rStyle w:val="Hipersaitas"/>
          </w:rPr>
          <w:t>Prieiga internete</w:t>
        </w:r>
      </w:hyperlink>
    </w:p>
    <w:p w14:paraId="5E6D4AD8" w14:textId="77777777" w:rsidR="005A0365" w:rsidRDefault="005A0365" w:rsidP="007E595E">
      <w:pPr>
        <w:pBdr>
          <w:top w:val="nil"/>
          <w:left w:val="nil"/>
          <w:bottom w:val="nil"/>
          <w:right w:val="nil"/>
          <w:between w:val="nil"/>
        </w:pBdr>
        <w:tabs>
          <w:tab w:val="left" w:pos="851"/>
        </w:tabs>
        <w:spacing w:after="0" w:line="240" w:lineRule="auto"/>
        <w:ind w:firstLine="567"/>
        <w:jc w:val="both"/>
      </w:pPr>
    </w:p>
    <w:p w14:paraId="2537167D" w14:textId="77777777" w:rsidR="00E15F05" w:rsidRPr="00E15F05" w:rsidRDefault="00E15F05" w:rsidP="00E15F05">
      <w:pPr>
        <w:spacing w:after="0" w:line="240" w:lineRule="auto"/>
        <w:jc w:val="center"/>
        <w:rPr>
          <w:rFonts w:eastAsia="Calibri" w:cstheme="minorHAnsi"/>
          <w:b/>
          <w:bCs/>
          <w:kern w:val="2"/>
          <w14:ligatures w14:val="standardContextual"/>
        </w:rPr>
      </w:pPr>
      <w:r w:rsidRPr="00E15F05">
        <w:rPr>
          <w:rFonts w:eastAsia="Calibri" w:cstheme="minorHAnsi"/>
          <w:b/>
          <w:bCs/>
          <w:kern w:val="2"/>
          <w14:ligatures w14:val="standardContextual"/>
        </w:rPr>
        <w:t>Europos Žmogaus Teisių Teismo 2024 m. gegužės 16 d. sprendimas byloje</w:t>
      </w:r>
    </w:p>
    <w:p w14:paraId="4D668F48" w14:textId="77777777" w:rsidR="00E15F05" w:rsidRPr="00E15F05" w:rsidRDefault="00E15F05" w:rsidP="00E15F05">
      <w:pPr>
        <w:keepNext/>
        <w:keepLines/>
        <w:spacing w:after="0" w:line="240" w:lineRule="auto"/>
        <w:jc w:val="center"/>
        <w:outlineLvl w:val="1"/>
        <w:rPr>
          <w:rFonts w:ascii="Calibri" w:eastAsia="Times New Roman" w:hAnsi="Calibri" w:cs="Times New Roman"/>
          <w:b/>
          <w:bCs/>
          <w:i/>
          <w:iCs/>
          <w:color w:val="2E74B5"/>
        </w:rPr>
      </w:pPr>
      <w:bookmarkStart w:id="39" w:name="_Toc181709507"/>
      <w:r w:rsidRPr="00E15F05">
        <w:rPr>
          <w:rFonts w:ascii="Calibri" w:eastAsia="Times New Roman" w:hAnsi="Calibri" w:cs="Times New Roman"/>
          <w:b/>
          <w:bCs/>
          <w:i/>
          <w:iCs/>
          <w:color w:val="2E74B5"/>
        </w:rPr>
        <w:t>Mária Somogyi prieš Vengriją</w:t>
      </w:r>
      <w:bookmarkEnd w:id="39"/>
    </w:p>
    <w:p w14:paraId="72938DC7" w14:textId="77777777" w:rsidR="00E15F05" w:rsidRPr="00E15F05" w:rsidRDefault="00E15F05" w:rsidP="00E15F05">
      <w:pPr>
        <w:spacing w:after="0" w:line="240" w:lineRule="auto"/>
        <w:ind w:right="-1"/>
        <w:jc w:val="center"/>
        <w:rPr>
          <w:b/>
        </w:rPr>
      </w:pPr>
      <w:r w:rsidRPr="00E15F05">
        <w:rPr>
          <w:b/>
        </w:rPr>
        <w:t>(pareiškimo Nr. 15076/17, svarbos lygis – 2)</w:t>
      </w:r>
    </w:p>
    <w:p w14:paraId="21B2F638" w14:textId="77777777" w:rsidR="00E15F05" w:rsidRPr="00E15F05" w:rsidRDefault="00E15F05" w:rsidP="00E15F05">
      <w:pPr>
        <w:spacing w:after="0" w:line="240" w:lineRule="auto"/>
        <w:ind w:right="-1"/>
        <w:jc w:val="both"/>
      </w:pPr>
    </w:p>
    <w:p w14:paraId="699C7D9C" w14:textId="77777777" w:rsidR="00E15F05" w:rsidRPr="00E15F05" w:rsidRDefault="00E15F05" w:rsidP="00E15F05">
      <w:pPr>
        <w:pStyle w:val="Antrat3"/>
        <w:spacing w:before="0" w:line="240" w:lineRule="auto"/>
        <w:ind w:right="-1" w:firstLine="567"/>
        <w:rPr>
          <w:rFonts w:ascii="Calibri" w:eastAsia="Times New Roman" w:hAnsi="Calibri" w:cs="Times New Roman"/>
        </w:rPr>
      </w:pPr>
      <w:bookmarkStart w:id="40" w:name="_Toc181709508"/>
      <w:r w:rsidRPr="00E15F05">
        <w:rPr>
          <w:rFonts w:ascii="Calibri" w:eastAsia="Times New Roman" w:hAnsi="Calibri" w:cs="Times New Roman"/>
        </w:rPr>
        <w:t>Dėl savivaldybės reputacijos gynimo civiline tvarka, pasidalinus jos veiksmų kritika socialiniame tinkle Facebook</w:t>
      </w:r>
      <w:bookmarkEnd w:id="40"/>
    </w:p>
    <w:p w14:paraId="338BBD83" w14:textId="77777777" w:rsidR="00E15F05" w:rsidRPr="00E15F05" w:rsidRDefault="00E15F05" w:rsidP="00E15F05">
      <w:pPr>
        <w:spacing w:after="0" w:line="240" w:lineRule="auto"/>
        <w:ind w:right="-1"/>
        <w:jc w:val="both"/>
      </w:pPr>
    </w:p>
    <w:p w14:paraId="12F21D64" w14:textId="77777777" w:rsidR="00E15F05" w:rsidRPr="00E15F05" w:rsidRDefault="00E15F05" w:rsidP="00E15F05">
      <w:pPr>
        <w:spacing w:after="0" w:line="240" w:lineRule="auto"/>
        <w:ind w:right="-1"/>
        <w:jc w:val="center"/>
        <w:rPr>
          <w:b/>
          <w:bCs/>
        </w:rPr>
      </w:pPr>
      <w:r w:rsidRPr="00E15F05">
        <w:rPr>
          <w:b/>
          <w:bCs/>
        </w:rPr>
        <w:lastRenderedPageBreak/>
        <w:t>Faktinės aplinkybės</w:t>
      </w:r>
    </w:p>
    <w:p w14:paraId="6D5E2DC9" w14:textId="77777777" w:rsidR="00E15F05" w:rsidRPr="00E15F05" w:rsidRDefault="00E15F05" w:rsidP="00E15F05">
      <w:pPr>
        <w:spacing w:after="0" w:line="240" w:lineRule="auto"/>
        <w:ind w:right="-1" w:firstLine="567"/>
        <w:jc w:val="both"/>
      </w:pPr>
    </w:p>
    <w:p w14:paraId="510F7B85" w14:textId="77777777" w:rsidR="00E15F05" w:rsidRPr="00E15F05" w:rsidRDefault="00E15F05" w:rsidP="00E15F05">
      <w:pPr>
        <w:spacing w:after="0" w:line="240" w:lineRule="auto"/>
        <w:ind w:right="-1" w:firstLine="567"/>
        <w:jc w:val="both"/>
      </w:pPr>
      <w:r w:rsidRPr="00E15F05">
        <w:t>Pareiškėja, gyvenanti Tata mieste, pasidalino kito socialinio tinklo Facebook vartotojo įrašu, kuriame skatinta dalyvauti demonstracijoje, skirtoje atkreipti dėmesį į savivaldybės veiksmus. Tata savivaldybė kaltinta pardavusi paveldo pastatą vietiniam verslininkui už mažesnę nei rinkos kainą, o tada tą patį pastatą brangiai iš jo išsinuomojusi. Įrašu pasidalinusi pareiškėja taip pat pridėjo savo komentarą dėl savivaldybės sumokėtos sumos, kad į naujas patalpas perkeltų vietos registrą. Nors prokuroras atsisakė pradėti ikiteisminį tyrimą, Tata savivaldybė kreipėsi į teismą su civiliniu ieškiniu, siekdama gauti nuostolių, patirtų dėl žalos reputacijai, atlyginimą ir reikalaudama nutraukti neteisėtus veiksmus. Bylą nagrinėję teismai nusprendė, kad pareiškėja tinkle Facebook turi atsiprašyti savivaldybės, paneigti skleistą informaciją ir kompensuoti patirtą neturtinę žalą. Teismai atkreipė dėmesį į tai, kad juridiniai asmenys turi teisę į savo reputacijos apsaugą, taip pat pabrėžė, kad tikrovės neatitinkančios informacijos skleidimas nėra saugomas teisės į saviraiškos laisvę.</w:t>
      </w:r>
    </w:p>
    <w:p w14:paraId="5A026EC3" w14:textId="77777777" w:rsidR="00E15F05" w:rsidRPr="00E15F05" w:rsidRDefault="00E15F05" w:rsidP="00E15F05">
      <w:pPr>
        <w:spacing w:after="0" w:line="240" w:lineRule="auto"/>
        <w:ind w:right="-1" w:firstLine="567"/>
        <w:jc w:val="both"/>
      </w:pPr>
      <w:r w:rsidRPr="00E15F05">
        <w:t>Pareiškėja kreipėsi į EŽTT dėl Konvencijos 10 straipsnio pažeidimo.</w:t>
      </w:r>
    </w:p>
    <w:p w14:paraId="2A6019B0" w14:textId="77777777" w:rsidR="00E15F05" w:rsidRPr="00E15F05" w:rsidRDefault="00E15F05" w:rsidP="00E15F05">
      <w:pPr>
        <w:spacing w:after="0" w:line="240" w:lineRule="auto"/>
        <w:ind w:right="-1"/>
        <w:jc w:val="both"/>
      </w:pPr>
    </w:p>
    <w:p w14:paraId="43C64F87" w14:textId="77777777" w:rsidR="00E15F05" w:rsidRPr="00E15F05" w:rsidRDefault="00E15F05" w:rsidP="00E15F05">
      <w:pPr>
        <w:spacing w:after="0" w:line="240" w:lineRule="auto"/>
        <w:ind w:right="-1"/>
        <w:jc w:val="center"/>
        <w:rPr>
          <w:b/>
          <w:bCs/>
        </w:rPr>
      </w:pPr>
      <w:r w:rsidRPr="00E15F05">
        <w:rPr>
          <w:b/>
          <w:bCs/>
        </w:rPr>
        <w:t>Neoficiali Teismo sprendimo apžvalga</w:t>
      </w:r>
    </w:p>
    <w:p w14:paraId="29E5B8AC" w14:textId="77777777" w:rsidR="00E15F05" w:rsidRPr="00E15F05" w:rsidRDefault="00E15F05" w:rsidP="00E15F05">
      <w:pPr>
        <w:spacing w:after="0" w:line="240" w:lineRule="auto"/>
        <w:ind w:right="-1"/>
        <w:jc w:val="both"/>
      </w:pPr>
    </w:p>
    <w:p w14:paraId="6CEA7506" w14:textId="26DAD16C" w:rsidR="00E15F05" w:rsidRPr="00E15F05" w:rsidRDefault="00E15F05" w:rsidP="00E15F05">
      <w:pPr>
        <w:spacing w:after="0" w:line="240" w:lineRule="auto"/>
        <w:ind w:right="-1" w:firstLine="567"/>
        <w:jc w:val="both"/>
        <w:rPr>
          <w:u w:val="single"/>
        </w:rPr>
      </w:pPr>
      <w:r w:rsidRPr="00E15F05">
        <w:t xml:space="preserve">Teismas pirmiausia vertino, ar į pareiškėjos saviraiškos laisvę kištasi siekiant teisėto tikslo. Pakartojęs jau suformuotą jurisprudenciją, EŽTT pažymėjo, kad dėl savo užimamo vaidmens demokratinėje visuomenėje valstybės įgaliojimus turinčios vykdomosios valdžios institucijos interesai palaikyti gerą reputaciją skiriasi nuo fizinių asmenų teisės į reputaciją ir privačių ar </w:t>
      </w:r>
      <w:r w:rsidRPr="00227A10">
        <w:t xml:space="preserve">viešųjų juridinių asmenų, konkuruojančių rinkoje, reputacijos interesų. </w:t>
      </w:r>
      <w:r w:rsidRPr="00227A10">
        <w:rPr>
          <w:u w:val="single"/>
        </w:rPr>
        <w:t>Nors teismas neatmetė galimybės, kad atskiri valdžios institucijų</w:t>
      </w:r>
      <w:r w:rsidR="00227A10" w:rsidRPr="00227A10">
        <w:rPr>
          <w:u w:val="single"/>
        </w:rPr>
        <w:t xml:space="preserve"> n</w:t>
      </w:r>
      <w:r w:rsidRPr="00227A10">
        <w:rPr>
          <w:u w:val="single"/>
        </w:rPr>
        <w:t>ariai</w:t>
      </w:r>
      <w:r w:rsidRPr="00E15F05">
        <w:rPr>
          <w:u w:val="single"/>
        </w:rPr>
        <w:t>, kurie gali būti aiškiai identifikuoti dėl riboto narių skaičiaus ir pateiktų kaltinimų pobūdžio, gali turėti teisę savo vardu iškelti bylą dėl šmeižto, paprastai civilinės bylos dėl šmeižto, iškeltos viešosios valdžios įgaliojimus turinčio juridinio asmens, negali būti laikomos siekiančiomis teisėto tikslo „apsaugoti kitų asmenų reputaciją“ pagal Konvencijos 10 straipsnio 2 dalį.</w:t>
      </w:r>
    </w:p>
    <w:p w14:paraId="79985F83" w14:textId="77777777" w:rsidR="00E15F05" w:rsidRPr="00E15F05" w:rsidRDefault="00E15F05" w:rsidP="00E15F05">
      <w:pPr>
        <w:spacing w:after="0" w:line="240" w:lineRule="auto"/>
        <w:ind w:right="-1" w:firstLine="567"/>
        <w:jc w:val="both"/>
      </w:pPr>
      <w:r w:rsidRPr="00E15F05">
        <w:t>Teismas pažymėjo, kad įraše minėtas pardavimas buvo susijęs su savivaldybei priklausančio turto valdymu ir viešųjų lėšų naudojimu ir teismo neįtikino nacionalinių teismų padaryta išvada, esą savivaldybė turėjo interesą apsaugoti savo komercinę sėkmę. Pabrėžta, kad net ir įgyvendindama savo teisę į nuosavybę, savivaldybė turėjo tarnauti visuomenei ir buvo finansuojama mokesčių mokėtojų, be to, nei pranešimas, kuriuo pasidalijo pareiškėja, nei jos pačios komentaras nebuvo susiję su tariamais neteisėtais veiksmais, atliktais nustatyto ar atpažįstamo darbuotojo. Juo labiau, ir byla dėl šmeižto iškelta ne atskirų juridinių asmenų narių, o pačių juridinių asmenų. Atsižvelgiant į tai, kad priemone nebuvo siekta teisėto tikslo, teismas nevertino, ar ji buvo būtina demokratinėje visuomenėje, ir konstatavo Konvencijos pažeidimą.</w:t>
      </w:r>
    </w:p>
    <w:p w14:paraId="65951A00" w14:textId="77777777" w:rsidR="00E15F05" w:rsidRPr="00E15F05" w:rsidRDefault="00E15F05" w:rsidP="00E15F05">
      <w:pPr>
        <w:spacing w:after="0" w:line="240" w:lineRule="auto"/>
        <w:ind w:right="-1" w:firstLine="567"/>
        <w:jc w:val="both"/>
      </w:pPr>
    </w:p>
    <w:p w14:paraId="2413641E" w14:textId="77777777" w:rsidR="00E15F05" w:rsidRPr="00E15F05" w:rsidRDefault="00E15F05" w:rsidP="00E15F05">
      <w:pPr>
        <w:spacing w:after="0" w:line="240" w:lineRule="auto"/>
        <w:ind w:right="-1" w:firstLine="567"/>
        <w:jc w:val="both"/>
      </w:pPr>
      <w:r w:rsidRPr="00E15F05">
        <w:t>Išvada: nustatytas Konvencijos 10 straipsnio pažeidimas (vienbalsiai).</w:t>
      </w:r>
    </w:p>
    <w:p w14:paraId="16F49EE1" w14:textId="77777777" w:rsidR="00E15F05" w:rsidRPr="00E15F05" w:rsidRDefault="00E15F05" w:rsidP="00E15F05">
      <w:pPr>
        <w:spacing w:after="0" w:line="240" w:lineRule="auto"/>
        <w:ind w:right="-1" w:firstLine="567"/>
        <w:jc w:val="both"/>
      </w:pPr>
      <w:r w:rsidRPr="00E15F05">
        <w:t>Pareiškėjai priteista 1 500 Eur neturtinės ir 402 Eur turtinės žalos.</w:t>
      </w:r>
    </w:p>
    <w:p w14:paraId="417FD842" w14:textId="77777777" w:rsidR="00E15F05" w:rsidRPr="00E15F05" w:rsidRDefault="00E15F05" w:rsidP="00E15F05">
      <w:pPr>
        <w:spacing w:after="0" w:line="240" w:lineRule="auto"/>
        <w:ind w:right="-1" w:firstLine="567"/>
        <w:jc w:val="both"/>
        <w:rPr>
          <w:u w:val="single"/>
        </w:rPr>
      </w:pPr>
      <w:hyperlink r:id="rId21" w:history="1">
        <w:r w:rsidRPr="00E15F05">
          <w:rPr>
            <w:rStyle w:val="Hipersaitas"/>
          </w:rPr>
          <w:t>Prieiga internete</w:t>
        </w:r>
      </w:hyperlink>
    </w:p>
    <w:p w14:paraId="60FA67E1" w14:textId="77777777" w:rsidR="00E15F05" w:rsidRDefault="00E15F05" w:rsidP="00837CD5">
      <w:pPr>
        <w:spacing w:after="0" w:line="240" w:lineRule="auto"/>
        <w:ind w:right="-1"/>
        <w:jc w:val="both"/>
      </w:pPr>
    </w:p>
    <w:p w14:paraId="746D943D" w14:textId="77777777" w:rsidR="005A0365" w:rsidRDefault="005A0365" w:rsidP="005A0365">
      <w:pPr>
        <w:shd w:val="clear" w:color="auto" w:fill="FFFFFF"/>
        <w:spacing w:after="0" w:line="240" w:lineRule="auto"/>
        <w:ind w:right="-1"/>
        <w:jc w:val="center"/>
        <w:rPr>
          <w:rFonts w:ascii="Calibri" w:eastAsia="Times New Roman" w:hAnsi="Calibri" w:cs="Calibri"/>
          <w:b/>
        </w:rPr>
      </w:pPr>
      <w:r w:rsidRPr="0007243E">
        <w:rPr>
          <w:rFonts w:ascii="Calibri" w:eastAsia="Times New Roman" w:hAnsi="Calibri" w:cs="Calibri"/>
          <w:b/>
        </w:rPr>
        <w:t xml:space="preserve">Europos Žmogaus Teisių Teismo </w:t>
      </w:r>
      <w:r w:rsidRPr="007774CC">
        <w:rPr>
          <w:rFonts w:ascii="Calibri" w:eastAsia="Times New Roman" w:hAnsi="Calibri" w:cs="Calibri"/>
          <w:b/>
        </w:rPr>
        <w:t>202</w:t>
      </w:r>
      <w:r>
        <w:rPr>
          <w:rFonts w:ascii="Calibri" w:eastAsia="Times New Roman" w:hAnsi="Calibri" w:cs="Calibri"/>
          <w:b/>
        </w:rPr>
        <w:t>4</w:t>
      </w:r>
      <w:r w:rsidRPr="007774CC">
        <w:rPr>
          <w:rFonts w:ascii="Calibri" w:eastAsia="Times New Roman" w:hAnsi="Calibri" w:cs="Calibri"/>
          <w:b/>
        </w:rPr>
        <w:t xml:space="preserve"> m. </w:t>
      </w:r>
      <w:r>
        <w:rPr>
          <w:rFonts w:ascii="Calibri" w:eastAsia="Times New Roman" w:hAnsi="Calibri" w:cs="Calibri"/>
          <w:b/>
        </w:rPr>
        <w:t>birželio 18 d</w:t>
      </w:r>
      <w:r w:rsidRPr="007774CC">
        <w:rPr>
          <w:rFonts w:ascii="Calibri" w:eastAsia="Times New Roman" w:hAnsi="Calibri" w:cs="Calibri"/>
          <w:b/>
        </w:rPr>
        <w:t xml:space="preserve">. sprendimas byloje </w:t>
      </w:r>
    </w:p>
    <w:p w14:paraId="2ADCDF73" w14:textId="77777777" w:rsidR="005A0365" w:rsidRPr="00142BEE" w:rsidRDefault="005A0365" w:rsidP="005A0365">
      <w:pPr>
        <w:keepNext/>
        <w:keepLines/>
        <w:spacing w:after="0" w:line="240" w:lineRule="auto"/>
        <w:jc w:val="center"/>
        <w:outlineLvl w:val="1"/>
        <w:rPr>
          <w:rFonts w:ascii="Calibri" w:eastAsia="Times New Roman" w:hAnsi="Calibri" w:cs="Times New Roman"/>
          <w:b/>
          <w:bCs/>
          <w:i/>
          <w:iCs/>
          <w:color w:val="2E74B5"/>
        </w:rPr>
      </w:pPr>
      <w:bookmarkStart w:id="41" w:name="_Toc181709509"/>
      <w:r w:rsidRPr="00142BEE">
        <w:rPr>
          <w:rFonts w:ascii="Calibri" w:eastAsia="Times New Roman" w:hAnsi="Calibri" w:cs="Times New Roman"/>
          <w:b/>
          <w:bCs/>
          <w:i/>
          <w:iCs/>
          <w:color w:val="2E74B5"/>
        </w:rPr>
        <w:t>Suprun prieš Rusiją</w:t>
      </w:r>
      <w:bookmarkEnd w:id="41"/>
    </w:p>
    <w:p w14:paraId="7674F8D8" w14:textId="77777777" w:rsidR="005A0365" w:rsidRPr="003C00F2" w:rsidRDefault="005A0365" w:rsidP="005A0365">
      <w:pPr>
        <w:shd w:val="clear" w:color="auto" w:fill="FFFFFF"/>
        <w:spacing w:after="0" w:line="240" w:lineRule="auto"/>
        <w:ind w:right="-1"/>
        <w:jc w:val="center"/>
        <w:rPr>
          <w:rFonts w:ascii="Calibri" w:eastAsia="Calibri" w:hAnsi="Calibri" w:cs="Calibri"/>
          <w:b/>
        </w:rPr>
      </w:pPr>
      <w:r w:rsidRPr="0007243E">
        <w:rPr>
          <w:rFonts w:ascii="Calibri" w:eastAsia="Times New Roman" w:hAnsi="Calibri" w:cs="Calibri"/>
          <w:b/>
        </w:rPr>
        <w:t>(pareiškim</w:t>
      </w:r>
      <w:r>
        <w:rPr>
          <w:rFonts w:ascii="Calibri" w:eastAsia="Times New Roman" w:hAnsi="Calibri" w:cs="Calibri"/>
          <w:b/>
        </w:rPr>
        <w:t>ų</w:t>
      </w:r>
      <w:r w:rsidRPr="0007243E">
        <w:rPr>
          <w:rFonts w:ascii="Calibri" w:eastAsia="Times New Roman" w:hAnsi="Calibri" w:cs="Calibri"/>
          <w:b/>
        </w:rPr>
        <w:t xml:space="preserve"> Nr. </w:t>
      </w:r>
      <w:r w:rsidRPr="00B92C3F">
        <w:rPr>
          <w:rFonts w:ascii="Calibri" w:eastAsia="Times New Roman" w:hAnsi="Calibri" w:cs="Calibri"/>
          <w:b/>
        </w:rPr>
        <w:t>58029/12</w:t>
      </w:r>
      <w:r>
        <w:rPr>
          <w:rFonts w:ascii="Calibri" w:eastAsia="Times New Roman" w:hAnsi="Calibri" w:cs="Calibri"/>
          <w:b/>
        </w:rPr>
        <w:t xml:space="preserve">, </w:t>
      </w:r>
      <w:r w:rsidRPr="00B92C3F">
        <w:rPr>
          <w:rFonts w:ascii="Calibri" w:eastAsia="Times New Roman" w:hAnsi="Calibri" w:cs="Calibri"/>
          <w:b/>
        </w:rPr>
        <w:t>29440/19</w:t>
      </w:r>
      <w:r>
        <w:rPr>
          <w:rFonts w:ascii="Calibri" w:eastAsia="Times New Roman" w:hAnsi="Calibri" w:cs="Calibri"/>
          <w:b/>
        </w:rPr>
        <w:t xml:space="preserve"> ir kt.</w:t>
      </w:r>
      <w:r w:rsidRPr="00597151">
        <w:rPr>
          <w:rFonts w:ascii="Calibri" w:eastAsia="Calibri" w:hAnsi="Calibri" w:cs="Calibri"/>
          <w:b/>
        </w:rPr>
        <w:t xml:space="preserve">, svarbos lygis – </w:t>
      </w:r>
      <w:r>
        <w:rPr>
          <w:rFonts w:ascii="Calibri" w:eastAsia="Calibri" w:hAnsi="Calibri" w:cs="Calibri"/>
          <w:b/>
        </w:rPr>
        <w:t>3</w:t>
      </w:r>
      <w:r w:rsidRPr="00597151">
        <w:rPr>
          <w:rFonts w:ascii="Calibri" w:eastAsia="Times New Roman" w:hAnsi="Calibri" w:cs="Calibri"/>
          <w:b/>
        </w:rPr>
        <w:t>)</w:t>
      </w:r>
    </w:p>
    <w:p w14:paraId="007B6DE9" w14:textId="77777777" w:rsidR="005A0365" w:rsidRPr="0007243E" w:rsidRDefault="005A0365" w:rsidP="005A0365">
      <w:pPr>
        <w:shd w:val="clear" w:color="auto" w:fill="FFFFFF"/>
        <w:spacing w:after="0" w:line="240" w:lineRule="auto"/>
        <w:ind w:right="-1" w:firstLine="567"/>
        <w:jc w:val="center"/>
        <w:rPr>
          <w:rFonts w:ascii="Calibri" w:eastAsia="Times New Roman" w:hAnsi="Calibri" w:cs="Calibri"/>
          <w:b/>
          <w:bCs/>
          <w:color w:val="000000"/>
        </w:rPr>
      </w:pPr>
    </w:p>
    <w:p w14:paraId="1A342571" w14:textId="77777777" w:rsidR="005A0365" w:rsidRPr="00734E33" w:rsidRDefault="005A0365" w:rsidP="005A0365">
      <w:pPr>
        <w:keepNext/>
        <w:keepLines/>
        <w:spacing w:after="0" w:line="240" w:lineRule="auto"/>
        <w:ind w:right="-1" w:firstLine="567"/>
        <w:jc w:val="both"/>
        <w:outlineLvl w:val="2"/>
        <w:rPr>
          <w:rFonts w:ascii="Calibri" w:eastAsia="Calibri" w:hAnsi="Calibri" w:cs="Calibri"/>
          <w:bCs/>
          <w:i/>
          <w:iCs/>
        </w:rPr>
      </w:pPr>
      <w:bookmarkStart w:id="42" w:name="_Toc181709510"/>
      <w:r w:rsidRPr="00E102F2">
        <w:rPr>
          <w:rFonts w:ascii="Calibri" w:eastAsia="Calibri" w:hAnsi="Calibri" w:cs="Calibri"/>
          <w:bCs/>
          <w:i/>
          <w:iCs/>
        </w:rPr>
        <w:t>Dėl teisės susipažinti</w:t>
      </w:r>
      <w:r>
        <w:rPr>
          <w:rFonts w:ascii="Calibri" w:eastAsia="Calibri" w:hAnsi="Calibri" w:cs="Calibri"/>
          <w:bCs/>
          <w:i/>
          <w:iCs/>
        </w:rPr>
        <w:t xml:space="preserve"> su</w:t>
      </w:r>
      <w:r w:rsidRPr="00E102F2">
        <w:rPr>
          <w:rFonts w:ascii="Calibri" w:eastAsia="Calibri" w:hAnsi="Calibri" w:cs="Calibri"/>
          <w:bCs/>
          <w:i/>
          <w:iCs/>
        </w:rPr>
        <w:t xml:space="preserve"> archyvin</w:t>
      </w:r>
      <w:r>
        <w:rPr>
          <w:rFonts w:ascii="Calibri" w:eastAsia="Calibri" w:hAnsi="Calibri" w:cs="Calibri"/>
          <w:bCs/>
          <w:i/>
          <w:iCs/>
        </w:rPr>
        <w:t>e</w:t>
      </w:r>
      <w:r w:rsidRPr="00E102F2">
        <w:rPr>
          <w:rFonts w:ascii="Calibri" w:eastAsia="Calibri" w:hAnsi="Calibri" w:cs="Calibri"/>
          <w:bCs/>
          <w:i/>
          <w:iCs/>
        </w:rPr>
        <w:t xml:space="preserve"> informacij</w:t>
      </w:r>
      <w:r>
        <w:rPr>
          <w:rFonts w:ascii="Calibri" w:eastAsia="Calibri" w:hAnsi="Calibri" w:cs="Calibri"/>
          <w:bCs/>
          <w:i/>
          <w:iCs/>
        </w:rPr>
        <w:t>a</w:t>
      </w:r>
      <w:r w:rsidRPr="00E102F2">
        <w:rPr>
          <w:rFonts w:ascii="Calibri" w:eastAsia="Calibri" w:hAnsi="Calibri" w:cs="Calibri"/>
          <w:bCs/>
          <w:i/>
          <w:iCs/>
        </w:rPr>
        <w:t xml:space="preserve"> apie sovietų represijas ir daryti </w:t>
      </w:r>
      <w:r>
        <w:rPr>
          <w:rFonts w:ascii="Calibri" w:eastAsia="Calibri" w:hAnsi="Calibri" w:cs="Calibri"/>
          <w:bCs/>
          <w:i/>
          <w:iCs/>
        </w:rPr>
        <w:t xml:space="preserve">tokių dokumentų </w:t>
      </w:r>
      <w:r w:rsidRPr="00E102F2">
        <w:rPr>
          <w:rFonts w:ascii="Calibri" w:eastAsia="Calibri" w:hAnsi="Calibri" w:cs="Calibri"/>
          <w:bCs/>
          <w:i/>
          <w:iCs/>
        </w:rPr>
        <w:t>kopijas</w:t>
      </w:r>
      <w:bookmarkEnd w:id="42"/>
      <w:r w:rsidRPr="00E102F2">
        <w:rPr>
          <w:rFonts w:ascii="Calibri" w:eastAsia="Calibri" w:hAnsi="Calibri" w:cs="Calibri"/>
          <w:bCs/>
          <w:i/>
          <w:iCs/>
        </w:rPr>
        <w:t xml:space="preserve"> </w:t>
      </w:r>
    </w:p>
    <w:p w14:paraId="5D8D1074" w14:textId="77777777" w:rsidR="005A0365" w:rsidRPr="00734E33" w:rsidRDefault="005A0365" w:rsidP="005A0365">
      <w:pPr>
        <w:shd w:val="clear" w:color="auto" w:fill="FFFFFF"/>
        <w:spacing w:after="0" w:line="240" w:lineRule="auto"/>
        <w:ind w:right="-1"/>
        <w:jc w:val="center"/>
        <w:rPr>
          <w:rFonts w:ascii="Calibri" w:eastAsia="Times New Roman" w:hAnsi="Calibri" w:cs="Calibri"/>
          <w:b/>
          <w:bCs/>
          <w:color w:val="000000"/>
        </w:rPr>
      </w:pPr>
    </w:p>
    <w:p w14:paraId="07BD2486" w14:textId="77777777" w:rsidR="005A0365" w:rsidRPr="00734E33" w:rsidRDefault="005A0365" w:rsidP="005A0365">
      <w:pPr>
        <w:shd w:val="clear" w:color="auto" w:fill="FFFFFF"/>
        <w:spacing w:after="0" w:line="240" w:lineRule="auto"/>
        <w:ind w:right="-1"/>
        <w:jc w:val="center"/>
        <w:rPr>
          <w:rFonts w:ascii="Calibri" w:eastAsia="Times New Roman" w:hAnsi="Calibri" w:cs="Calibri"/>
          <w:b/>
          <w:bCs/>
          <w:color w:val="000000"/>
        </w:rPr>
      </w:pPr>
      <w:r w:rsidRPr="00734E33">
        <w:rPr>
          <w:rFonts w:ascii="Calibri" w:eastAsia="Times New Roman" w:hAnsi="Calibri" w:cs="Calibri"/>
          <w:b/>
          <w:bCs/>
          <w:color w:val="000000"/>
        </w:rPr>
        <w:t>Faktinės aplinkybės</w:t>
      </w:r>
    </w:p>
    <w:p w14:paraId="7E2ED389" w14:textId="77777777" w:rsidR="005A0365" w:rsidRDefault="005A0365" w:rsidP="005A0365">
      <w:pPr>
        <w:spacing w:after="0" w:line="240" w:lineRule="auto"/>
        <w:ind w:right="-1" w:firstLine="567"/>
        <w:rPr>
          <w:rFonts w:ascii="Calibri" w:eastAsia="Calibri" w:hAnsi="Calibri" w:cs="Calibri"/>
        </w:rPr>
      </w:pPr>
    </w:p>
    <w:p w14:paraId="65762B13" w14:textId="77777777" w:rsidR="005A0365" w:rsidRDefault="005A0365" w:rsidP="005A0365">
      <w:pPr>
        <w:spacing w:after="0" w:line="240" w:lineRule="auto"/>
        <w:ind w:firstLine="567"/>
        <w:jc w:val="both"/>
      </w:pPr>
      <w:r>
        <w:t>Paraiškas pateikė penki Rusijos piliečiai, kurie daugiausia dėmesio skiria sovietų politinių represijų istorijos tyrimams, vienas Šveicarijos pilietis, Švedijos diplomato Raoulio Wallenbergo, Antrojo pasaulinio karo pabaigoje išgelbėjusio dešimčių tūkstančių Vengrijos žydų gyvybes ir dingusio be žinios sovietų nelaisvėje, anūkas, ir Maskvoje įsikūrusi nevyriausybinė organizacija „International Memorial“, kuriai už pastangas fiksuoti žmogaus teisių pažeidimus buvo paskirta Nobelio taikos premija.</w:t>
      </w:r>
    </w:p>
    <w:p w14:paraId="015F5EEF" w14:textId="77777777" w:rsidR="005A0365" w:rsidRDefault="005A0365" w:rsidP="005A0365">
      <w:pPr>
        <w:spacing w:after="0" w:line="240" w:lineRule="auto"/>
        <w:ind w:firstLine="567"/>
        <w:jc w:val="both"/>
      </w:pPr>
      <w:r>
        <w:t xml:space="preserve">Pareiškėjai bandė gauti archyvinę informaciją apie sovietų represijas, įskaitant etnines deportacijas ir egzekucijas, įvykdytas neteisminių institucijų nurodymu XX a. trečiajame ir ketvirtajame dešimtmetyje. Dupuy </w:t>
      </w:r>
      <w:r>
        <w:lastRenderedPageBreak/>
        <w:t>siekė gauti informacijos apie R. Wallenbergo likimą. Visais atvejais buvo atsisakyta suteikti prieigą arba pateikta informacija buvo neišsami, arba pareiškėjams neleista pasidaryti originalių dokumentų kopijų. Vienas iš pareiškėjų, Suprunas, buvo pripažintas kaltu dėl neteisėto etninių represijų aukų „asmeninių ir šeimos paslapčių“ rinkimo savo archyviniam darbui dėl priverstinio vokiečių-rusų perkėlimo.</w:t>
      </w:r>
    </w:p>
    <w:p w14:paraId="42C9A0EF" w14:textId="77777777" w:rsidR="005A0365" w:rsidRDefault="005A0365" w:rsidP="005A0365">
      <w:pPr>
        <w:spacing w:after="0" w:line="240" w:lineRule="auto"/>
        <w:ind w:firstLine="567"/>
        <w:jc w:val="both"/>
      </w:pPr>
      <w:r w:rsidRPr="0002666B">
        <w:t xml:space="preserve">Remdamiesi </w:t>
      </w:r>
      <w:r>
        <w:t xml:space="preserve">Konvencijos </w:t>
      </w:r>
      <w:r w:rsidRPr="0002666B">
        <w:t xml:space="preserve">10 straipsniu (saviraiškos laisvė), pareiškėjai skundėsi, kad apribojus jų prieigą prie archyvinės informacijos apie sovietų politines represijas buvo pažeista jų teisė gauti informaciją. Pareiškėjai taip pat rėmėsi </w:t>
      </w:r>
      <w:r>
        <w:t xml:space="preserve">Konvencijos </w:t>
      </w:r>
      <w:r w:rsidRPr="0002666B">
        <w:t>7 straipsniu (nėra bausmės be įstatymo), 8 straipsniu (teisė į privataus ir šeimos gyvenimo gerbimą) ir 14 straipsniu (diskriminacijos draudimas).</w:t>
      </w:r>
    </w:p>
    <w:p w14:paraId="4C2FCDD0" w14:textId="77777777" w:rsidR="005A0365" w:rsidRPr="0089498E" w:rsidRDefault="005A0365" w:rsidP="005A0365">
      <w:pPr>
        <w:spacing w:after="0" w:line="240" w:lineRule="auto"/>
        <w:ind w:firstLine="567"/>
        <w:jc w:val="both"/>
      </w:pPr>
    </w:p>
    <w:p w14:paraId="60F77376" w14:textId="77777777" w:rsidR="005A0365" w:rsidRPr="0089498E" w:rsidRDefault="005A0365" w:rsidP="005A0365">
      <w:pPr>
        <w:shd w:val="clear" w:color="auto" w:fill="FFFFFF"/>
        <w:spacing w:after="0" w:line="240" w:lineRule="auto"/>
        <w:ind w:right="-1"/>
        <w:jc w:val="center"/>
        <w:rPr>
          <w:rFonts w:ascii="Calibri" w:eastAsia="Times New Roman" w:hAnsi="Calibri" w:cs="Calibri"/>
          <w:b/>
          <w:bCs/>
          <w:color w:val="000000"/>
        </w:rPr>
      </w:pPr>
      <w:r w:rsidRPr="0089498E">
        <w:rPr>
          <w:rFonts w:ascii="Calibri" w:eastAsia="Times New Roman" w:hAnsi="Calibri" w:cs="Calibri"/>
          <w:b/>
          <w:bCs/>
          <w:color w:val="000000"/>
        </w:rPr>
        <w:t>Neoficiali Teismo sprendimo apžvalga</w:t>
      </w:r>
    </w:p>
    <w:p w14:paraId="101559FA" w14:textId="77777777" w:rsidR="005A0365" w:rsidRDefault="005A0365" w:rsidP="005A0365">
      <w:pPr>
        <w:spacing w:after="0" w:line="240" w:lineRule="auto"/>
        <w:ind w:firstLine="567"/>
      </w:pPr>
    </w:p>
    <w:p w14:paraId="1E2972B6" w14:textId="77777777" w:rsidR="005A0365" w:rsidRDefault="005A0365" w:rsidP="005A0365">
      <w:pPr>
        <w:spacing w:after="0" w:line="240" w:lineRule="auto"/>
        <w:ind w:firstLine="567"/>
        <w:jc w:val="both"/>
      </w:pPr>
      <w:r>
        <w:t xml:space="preserve">Teismas nusprendė, kad atsisakymas leisti pareiškėjams susipažinti su archyvine informacija apie sovietų represijas arba nesuteikimas teisės kopijuoti ar fotografuoti tokią archyvinę informaciją prilygo kišimuisi į jų teisę gauti informaciją, numatytą Konvencijos 10 straipsnyje. </w:t>
      </w:r>
    </w:p>
    <w:p w14:paraId="37226E02" w14:textId="77777777" w:rsidR="005A0365" w:rsidRDefault="005A0365" w:rsidP="005A0365">
      <w:pPr>
        <w:spacing w:after="0" w:line="240" w:lineRule="auto"/>
        <w:ind w:firstLine="567"/>
        <w:jc w:val="both"/>
      </w:pPr>
      <w:r w:rsidRPr="007901C3">
        <w:t xml:space="preserve">Teismas </w:t>
      </w:r>
      <w:r>
        <w:t>pažymėjo</w:t>
      </w:r>
      <w:r w:rsidRPr="007901C3">
        <w:t xml:space="preserve">, kad </w:t>
      </w:r>
      <w:r w:rsidRPr="002A5AC2">
        <w:rPr>
          <w:u w:val="single"/>
        </w:rPr>
        <w:t xml:space="preserve">naudojimasis teise į saviraiškos laisvę neįmanomas be galimybės perduoti tikslią ir išsamią informaciją. </w:t>
      </w:r>
      <w:r w:rsidRPr="00564182">
        <w:rPr>
          <w:u w:val="single"/>
        </w:rPr>
        <w:t>Fotografavimas ar archyvinių dokumentų kopijų darymas leidžia istorikams ir tyrėjams užfiksuoti tikslius ir nepakeistus originalių dokumentų vaizdus. Tai palengvina tikslesnę ir tikresnę istorinių dokumentų sklaidą, kuri yra labai svarbi moksliniam darbui ir informuotoms viešosioms diskusijoms. Tai taip pat atitinka visuomenės teisę gauti informaciją, išplečiant istorinių dokumentų pasiekiamumą už fizinių archyvų ribų. Tiriant sovietų politines represijas, archyvinių dokumentų nuotraukos gali pasitarnauti kaip skaidrumo priemonė, teikianti patikimų įrodymų apie praeities valdžios institucijų veiksmus ir sprendimus, taip didinant visuomenės istorinį sąmoningumą</w:t>
      </w:r>
      <w:r w:rsidRPr="007901C3">
        <w:t xml:space="preserve">. </w:t>
      </w:r>
    </w:p>
    <w:p w14:paraId="3EE31DEA" w14:textId="77777777" w:rsidR="005A0365" w:rsidRPr="00564182" w:rsidRDefault="005A0365" w:rsidP="005A0365">
      <w:pPr>
        <w:spacing w:after="0" w:line="240" w:lineRule="auto"/>
        <w:ind w:firstLine="567"/>
        <w:jc w:val="both"/>
        <w:rPr>
          <w:u w:val="single"/>
        </w:rPr>
      </w:pPr>
      <w:r w:rsidRPr="007901C3">
        <w:t>Teismas pakartoj</w:t>
      </w:r>
      <w:r>
        <w:t>o</w:t>
      </w:r>
      <w:r w:rsidRPr="007901C3">
        <w:t xml:space="preserve">, kad </w:t>
      </w:r>
      <w:r w:rsidRPr="00564182">
        <w:rPr>
          <w:u w:val="single"/>
        </w:rPr>
        <w:t>istorinės tiesos ieškojimas yra neatsiejama saviraiškos laisvės dalis ir kad tokie klausimai nusipelno aukšto lygio apsaugos, garantuojamos politinei kalbai, ir kad vidaus teismai turėtų atsižvelgti į šiuos elementus.</w:t>
      </w:r>
    </w:p>
    <w:p w14:paraId="29FF7605" w14:textId="77777777" w:rsidR="005A0365" w:rsidRDefault="005A0365" w:rsidP="005A0365">
      <w:pPr>
        <w:spacing w:after="0" w:line="240" w:lineRule="auto"/>
        <w:ind w:firstLine="567"/>
        <w:jc w:val="both"/>
      </w:pPr>
      <w:r>
        <w:t xml:space="preserve">EŽTT pažymėjo, jog šioje byloje asmenys, su kuriais susiję pareiškėjų prašymai suteikti informaciją, profesinę veiklą vykdė XX a. trečiajame ir ketvirtajame dešimtmetyje. Atsižvelgiant į praėjusį laiko tarpą, buvo galima pagrįstai manyti, kad tuo metu, kai buvo pateikti prašymai, minėti asmenys jau buvo mirę. Teismas pakartojo, kad </w:t>
      </w:r>
      <w:r w:rsidRPr="00FF45FA">
        <w:rPr>
          <w:u w:val="single"/>
        </w:rPr>
        <w:t>mirusio asmens privatus gyvenimas po mirties nesitęsia ir kad teisės pagal 8 straipsnį yra išskirtinai asmeninės ir neperleidžiamos</w:t>
      </w:r>
      <w:r>
        <w:t>. Todėl susipažinimas su informacija apie mirusius NKVD pareigūnus ar Stalino laikų prokurorus negalėjo pažeisti jų privatumo. Kiek tai susiję su šių asmenų palikuonimis, Teismas pažymėjo, kad p</w:t>
      </w:r>
      <w:r w:rsidRPr="00811D65">
        <w:t xml:space="preserve">areiškėjai šioje byloje nesiekė pateikti jokių savarankiškų reikalavimų ar atskleisti intymių politinių represijų vykdytojų ar aukų privataus gyvenimo aspektų. Nesant ypatingų aplinkybių, </w:t>
      </w:r>
      <w:r>
        <w:t>pareiškėjų</w:t>
      </w:r>
      <w:r w:rsidRPr="00811D65">
        <w:t xml:space="preserve"> tyrimo poveikis palikuonių jausmams, jei toks ir buvo, turėjo būti minimalus ir tolimas.</w:t>
      </w:r>
    </w:p>
    <w:p w14:paraId="485F79C1" w14:textId="77777777" w:rsidR="005A0365" w:rsidRDefault="005A0365" w:rsidP="005A0365">
      <w:pPr>
        <w:spacing w:after="0" w:line="240" w:lineRule="auto"/>
        <w:ind w:firstLine="567"/>
        <w:jc w:val="both"/>
      </w:pPr>
      <w:r>
        <w:t xml:space="preserve">Teismas pabrėžė, kad bet kuriuo atveju Rusijos teismai iš tikrųjų nesistengė įvertinti 8 straipsnio taikymo šiose bylose, o vertino tik tai, ar sprendimai atitiko Rusijos teisės reikalavimus. </w:t>
      </w:r>
    </w:p>
    <w:p w14:paraId="11CEB616" w14:textId="77777777" w:rsidR="005A0365" w:rsidRDefault="005A0365" w:rsidP="005A0365">
      <w:pPr>
        <w:spacing w:after="0" w:line="240" w:lineRule="auto"/>
        <w:ind w:firstLine="567"/>
        <w:jc w:val="both"/>
      </w:pPr>
      <w:r w:rsidRPr="00031AE5">
        <w:t>Teismas man</w:t>
      </w:r>
      <w:r>
        <w:t>ė</w:t>
      </w:r>
      <w:r w:rsidRPr="00031AE5">
        <w:t xml:space="preserve">, kad archyvinių dokumentų kopijų </w:t>
      </w:r>
      <w:r>
        <w:t>darymo</w:t>
      </w:r>
      <w:r w:rsidRPr="00031AE5">
        <w:t xml:space="preserve"> apribojimu nebuvo siekiama jokio nustatomo teisėto tikslo ar „neatidėliotino socialinio poreikio“. Be to, Teismas pažym</w:t>
      </w:r>
      <w:r>
        <w:t>ėjo</w:t>
      </w:r>
      <w:r w:rsidRPr="00031AE5">
        <w:t>, kad dokumentai buvo „paruošti ir prieinami“, su jais buvo galima susipažinti, o apribojimas nebuvo būtinas veiksmingam archyvų darbui. Pareiškėjai iš tiesų galėjo peržiūrėti dokumentus, nors ir per ribotą laiką, taip pat rankiniu būdu nukopijuoti jiems reikalingą informaciją. Tačiau perrašymas ne tik užėmė daug laiko, bet ir nepadėjo pareiškėjams padidinti savo darbo patikimumo visuomenės akyse tokiu pat mastu, kaip tai būtų padariusios originalių dokumentų kopijos. Apribojimai taip pat neleido jiems padaryti dokumentų prieinamų interneto svetainėje ar išspausdintų viešajame archyve, skirtame sovietinio teroro istorijai. Taip buvo apribota platesnės visuomenės galimybė susipažinti su šia informacija ir pakenkta viešos diskusijos visuomenei svarbiu klausimu galimybei.</w:t>
      </w:r>
      <w:r>
        <w:t xml:space="preserve"> </w:t>
      </w:r>
    </w:p>
    <w:p w14:paraId="422C1CB8" w14:textId="77777777" w:rsidR="005A0365" w:rsidRDefault="005A0365" w:rsidP="005A0365">
      <w:pPr>
        <w:spacing w:after="0" w:line="240" w:lineRule="auto"/>
        <w:ind w:firstLine="567"/>
        <w:jc w:val="both"/>
      </w:pPr>
      <w:r>
        <w:t>Taip pat pažymėta, kad v</w:t>
      </w:r>
      <w:r w:rsidRPr="00031AE5">
        <w:t xml:space="preserve">aldžios institucijos pareiškėjams nepateikė jokių </w:t>
      </w:r>
      <w:r>
        <w:t xml:space="preserve">tinkamų </w:t>
      </w:r>
      <w:r w:rsidRPr="00031AE5">
        <w:t>alternatyvų</w:t>
      </w:r>
      <w:r>
        <w:t xml:space="preserve"> </w:t>
      </w:r>
      <w:r w:rsidRPr="00031AE5">
        <w:t xml:space="preserve">apribojimui </w:t>
      </w:r>
      <w:r>
        <w:t>gauti</w:t>
      </w:r>
      <w:r w:rsidRPr="00031AE5">
        <w:t xml:space="preserve"> archyvinės informacijos kopijas.</w:t>
      </w:r>
      <w:r>
        <w:t xml:space="preserve"> Teismas konstatavo, jog medžiagos kopijavimo </w:t>
      </w:r>
      <w:r w:rsidRPr="00031AE5">
        <w:t>apribojimu nebuvo siekiama jokio teisėto tikslo ir jis nebuvo „būtinas demokratinėje visuomenėje“.</w:t>
      </w:r>
    </w:p>
    <w:p w14:paraId="3156978F" w14:textId="77777777" w:rsidR="005A0365" w:rsidRDefault="005A0365" w:rsidP="005A0365">
      <w:pPr>
        <w:spacing w:after="0" w:line="240" w:lineRule="auto"/>
        <w:ind w:firstLine="567"/>
        <w:jc w:val="both"/>
        <w:rPr>
          <w:highlight w:val="darkGray"/>
        </w:rPr>
      </w:pPr>
      <w:r>
        <w:t>Todėl visų pareiškėjų atžvilgiu buvo konstatuotas Konvencijos 10 straipsnio pažeidimas.</w:t>
      </w:r>
    </w:p>
    <w:p w14:paraId="6201252F" w14:textId="77777777" w:rsidR="005A0365" w:rsidRDefault="005A0365" w:rsidP="005A0365">
      <w:pPr>
        <w:spacing w:after="0" w:line="240" w:lineRule="auto"/>
        <w:ind w:firstLine="567"/>
        <w:jc w:val="both"/>
        <w:rPr>
          <w:highlight w:val="darkGray"/>
        </w:rPr>
      </w:pPr>
      <w:r w:rsidRPr="00F36BFD">
        <w:t xml:space="preserve">Atsižvelgdamas į savo išvadas </w:t>
      </w:r>
      <w:r>
        <w:t>dėl</w:t>
      </w:r>
      <w:r w:rsidRPr="00F36BFD">
        <w:t xml:space="preserve"> </w:t>
      </w:r>
      <w:r>
        <w:t xml:space="preserve">Konvencijos </w:t>
      </w:r>
      <w:r w:rsidRPr="00F36BFD">
        <w:t>10 straipsn</w:t>
      </w:r>
      <w:r>
        <w:t>io</w:t>
      </w:r>
      <w:r w:rsidRPr="00F36BFD">
        <w:t>, Teismas nusprendė, kad jam nereikia priimti atskiro sprendimo dėl likusi</w:t>
      </w:r>
      <w:r>
        <w:t>os</w:t>
      </w:r>
      <w:r w:rsidRPr="00F36BFD">
        <w:t xml:space="preserve"> skundų</w:t>
      </w:r>
      <w:r>
        <w:t xml:space="preserve"> dalies</w:t>
      </w:r>
      <w:r w:rsidRPr="00F36BFD">
        <w:t>, visų pirma pagal Konvencijos 7, 8 ir 14 straipsnius, priimtinumo ar pagrįstumo.</w:t>
      </w:r>
    </w:p>
    <w:p w14:paraId="60FC6CEA" w14:textId="77777777" w:rsidR="005A0365" w:rsidRDefault="005A0365" w:rsidP="005A0365">
      <w:pPr>
        <w:spacing w:after="0" w:line="240" w:lineRule="auto"/>
        <w:ind w:firstLine="567"/>
        <w:jc w:val="both"/>
        <w:rPr>
          <w:highlight w:val="darkGray"/>
        </w:rPr>
      </w:pPr>
    </w:p>
    <w:p w14:paraId="4EEB3BFA" w14:textId="77777777" w:rsidR="005A0365" w:rsidRDefault="005A0365" w:rsidP="005A0365">
      <w:pPr>
        <w:spacing w:after="0" w:line="240" w:lineRule="auto"/>
        <w:ind w:right="-1" w:firstLine="567"/>
        <w:jc w:val="both"/>
        <w:rPr>
          <w:rFonts w:cstheme="minorHAnsi"/>
        </w:rPr>
      </w:pPr>
      <w:r w:rsidRPr="00D1455C">
        <w:rPr>
          <w:rFonts w:cstheme="minorHAnsi"/>
        </w:rPr>
        <w:lastRenderedPageBreak/>
        <w:t>Išvada</w:t>
      </w:r>
      <w:r>
        <w:rPr>
          <w:rFonts w:cstheme="minorHAnsi"/>
        </w:rPr>
        <w:t xml:space="preserve">: </w:t>
      </w:r>
      <w:r w:rsidRPr="004B5965">
        <w:rPr>
          <w:rFonts w:cstheme="minorHAnsi"/>
        </w:rPr>
        <w:t>pažeistas Konvencijos 10 straipsnis</w:t>
      </w:r>
      <w:r>
        <w:rPr>
          <w:rFonts w:cstheme="minorHAnsi"/>
        </w:rPr>
        <w:t xml:space="preserve"> (vienbalsiai). </w:t>
      </w:r>
    </w:p>
    <w:p w14:paraId="3168C009" w14:textId="77777777" w:rsidR="005A0365" w:rsidRDefault="005A0365" w:rsidP="005A0365">
      <w:pPr>
        <w:spacing w:after="0" w:line="240" w:lineRule="auto"/>
        <w:ind w:right="-1" w:firstLine="567"/>
        <w:jc w:val="both"/>
        <w:rPr>
          <w:rFonts w:cstheme="minorHAnsi"/>
        </w:rPr>
      </w:pPr>
      <w:r w:rsidRPr="00C905E0">
        <w:rPr>
          <w:rFonts w:cstheme="minorHAnsi"/>
        </w:rPr>
        <w:t xml:space="preserve">41 straipsnis: pareiškėjams priteista </w:t>
      </w:r>
      <w:r>
        <w:rPr>
          <w:rFonts w:cstheme="minorHAnsi"/>
        </w:rPr>
        <w:t>po 7 500</w:t>
      </w:r>
      <w:r w:rsidRPr="00C905E0">
        <w:rPr>
          <w:rFonts w:cstheme="minorHAnsi"/>
        </w:rPr>
        <w:t xml:space="preserve"> Eur neturtinei žalai atlyginti.</w:t>
      </w:r>
    </w:p>
    <w:p w14:paraId="1A9BE76C" w14:textId="77777777" w:rsidR="005A0365" w:rsidRPr="00C170C3" w:rsidRDefault="005A0365" w:rsidP="005A0365">
      <w:pPr>
        <w:spacing w:after="0" w:line="240" w:lineRule="auto"/>
        <w:ind w:right="-1" w:firstLine="567"/>
        <w:rPr>
          <w:rFonts w:ascii="Calibri" w:eastAsia="Calibri" w:hAnsi="Calibri" w:cs="Calibri"/>
        </w:rPr>
      </w:pPr>
      <w:r w:rsidRPr="00C170C3">
        <w:rPr>
          <w:rFonts w:ascii="Calibri" w:eastAsia="Calibri" w:hAnsi="Calibri" w:cs="Calibri"/>
        </w:rPr>
        <w:t>Pateikta atskiroji nuomonė.</w:t>
      </w:r>
    </w:p>
    <w:p w14:paraId="6A09DF04" w14:textId="77777777" w:rsidR="005A0365" w:rsidRDefault="005A0365" w:rsidP="005A0365">
      <w:pPr>
        <w:spacing w:after="0" w:line="240" w:lineRule="auto"/>
        <w:ind w:firstLine="567"/>
      </w:pPr>
      <w:hyperlink r:id="rId22" w:anchor="{%22itemid%22:[%22001-234258%22]}" w:history="1">
        <w:r>
          <w:rPr>
            <w:rStyle w:val="Hipersaitas"/>
          </w:rPr>
          <w:t>Prieiga internete</w:t>
        </w:r>
      </w:hyperlink>
      <w:r>
        <w:t xml:space="preserve"> </w:t>
      </w:r>
    </w:p>
    <w:p w14:paraId="6460E63D" w14:textId="77777777" w:rsidR="005A0365" w:rsidRDefault="005A0365" w:rsidP="00837CD5">
      <w:pPr>
        <w:spacing w:after="0" w:line="240" w:lineRule="auto"/>
        <w:ind w:right="-1"/>
        <w:jc w:val="both"/>
      </w:pPr>
    </w:p>
    <w:p w14:paraId="1F063CA0" w14:textId="77777777" w:rsidR="007E1F00" w:rsidRPr="00E15F05" w:rsidRDefault="007E1F00" w:rsidP="007E1F00">
      <w:pPr>
        <w:spacing w:after="0" w:line="240" w:lineRule="auto"/>
        <w:ind w:right="-1"/>
        <w:jc w:val="center"/>
        <w:rPr>
          <w:b/>
        </w:rPr>
      </w:pPr>
      <w:r w:rsidRPr="00E15F05">
        <w:rPr>
          <w:b/>
        </w:rPr>
        <w:t>Europos Žmogaus Teisių Teismo 2024 m. birželio 25 d. sprendimas byloje</w:t>
      </w:r>
    </w:p>
    <w:p w14:paraId="4D5094CD" w14:textId="77777777" w:rsidR="007E1F00" w:rsidRPr="00E15F05" w:rsidRDefault="007E1F00" w:rsidP="007E1F00">
      <w:pPr>
        <w:keepNext/>
        <w:keepLines/>
        <w:spacing w:after="0" w:line="240" w:lineRule="auto"/>
        <w:jc w:val="center"/>
        <w:outlineLvl w:val="1"/>
        <w:rPr>
          <w:rFonts w:ascii="Calibri" w:eastAsia="Times New Roman" w:hAnsi="Calibri" w:cs="Times New Roman"/>
          <w:b/>
          <w:bCs/>
          <w:i/>
          <w:iCs/>
          <w:color w:val="2E74B5"/>
        </w:rPr>
      </w:pPr>
      <w:bookmarkStart w:id="43" w:name="_Toc181709511"/>
      <w:r w:rsidRPr="00E15F05">
        <w:rPr>
          <w:rFonts w:ascii="Calibri" w:eastAsia="Times New Roman" w:hAnsi="Calibri" w:cs="Times New Roman"/>
          <w:b/>
          <w:bCs/>
          <w:i/>
          <w:iCs/>
          <w:color w:val="2E74B5"/>
        </w:rPr>
        <w:t>Affaire Conseil national de la jeunesse de Moldova prieš Moldovos Respubliką</w:t>
      </w:r>
      <w:bookmarkEnd w:id="43"/>
    </w:p>
    <w:p w14:paraId="27694BAC" w14:textId="34972D9F" w:rsidR="007E1F00" w:rsidRPr="00E15F05" w:rsidRDefault="007E1F00" w:rsidP="007E1F00">
      <w:pPr>
        <w:spacing w:after="0" w:line="240" w:lineRule="auto"/>
        <w:ind w:right="-1"/>
        <w:jc w:val="center"/>
        <w:rPr>
          <w:b/>
        </w:rPr>
      </w:pPr>
      <w:r w:rsidRPr="00E15F05">
        <w:rPr>
          <w:b/>
        </w:rPr>
        <w:t>(pareiškimo Nr. 15379/13, svarbos lygis – 2)</w:t>
      </w:r>
    </w:p>
    <w:p w14:paraId="0D88DF1A" w14:textId="77777777" w:rsidR="007E1F00" w:rsidRPr="00E15F05" w:rsidRDefault="007E1F00" w:rsidP="007E1F00">
      <w:pPr>
        <w:spacing w:after="0" w:line="240" w:lineRule="auto"/>
        <w:ind w:right="-1"/>
        <w:jc w:val="both"/>
      </w:pPr>
    </w:p>
    <w:p w14:paraId="56E3A536" w14:textId="77777777" w:rsidR="007E1F00" w:rsidRPr="00E15F05" w:rsidRDefault="007E1F00" w:rsidP="007E1F00">
      <w:pPr>
        <w:pStyle w:val="Antrat3"/>
        <w:spacing w:before="0" w:line="240" w:lineRule="auto"/>
        <w:ind w:right="-1" w:firstLine="567"/>
        <w:rPr>
          <w:rFonts w:ascii="Calibri" w:eastAsia="Times New Roman" w:hAnsi="Calibri" w:cs="Times New Roman"/>
        </w:rPr>
      </w:pPr>
      <w:bookmarkStart w:id="44" w:name="_Toc181709512"/>
      <w:r w:rsidRPr="00E15F05">
        <w:rPr>
          <w:rFonts w:ascii="Calibri" w:eastAsia="Times New Roman" w:hAnsi="Calibri" w:cs="Times New Roman"/>
        </w:rPr>
        <w:t>Dėl pareigos atsižvelgti į kitų asmenų teisę į pagarbą sprendžiant dėl pagalbos telefono linijos reklaminio plakato publikavimo miesto stenduose</w:t>
      </w:r>
      <w:bookmarkEnd w:id="44"/>
    </w:p>
    <w:p w14:paraId="7645EE5E" w14:textId="77777777" w:rsidR="007E1F00" w:rsidRPr="00E15F05" w:rsidRDefault="007E1F00" w:rsidP="007E1F00">
      <w:pPr>
        <w:spacing w:after="0" w:line="240" w:lineRule="auto"/>
        <w:ind w:right="-1"/>
        <w:jc w:val="both"/>
      </w:pPr>
    </w:p>
    <w:p w14:paraId="73D67F9C" w14:textId="77777777" w:rsidR="007E1F00" w:rsidRPr="00E15F05" w:rsidRDefault="007E1F00" w:rsidP="007E1F00">
      <w:pPr>
        <w:spacing w:after="0" w:line="240" w:lineRule="auto"/>
        <w:ind w:right="-1"/>
        <w:jc w:val="center"/>
        <w:rPr>
          <w:b/>
          <w:bCs/>
        </w:rPr>
      </w:pPr>
      <w:r w:rsidRPr="00E15F05">
        <w:rPr>
          <w:b/>
          <w:bCs/>
        </w:rPr>
        <w:t>Faktinės aplinkybės</w:t>
      </w:r>
    </w:p>
    <w:p w14:paraId="06EA806E" w14:textId="77777777" w:rsidR="007E1F00" w:rsidRPr="00E15F05" w:rsidRDefault="007E1F00" w:rsidP="007E1F00">
      <w:pPr>
        <w:spacing w:after="0" w:line="240" w:lineRule="auto"/>
        <w:ind w:right="-1"/>
        <w:jc w:val="both"/>
      </w:pPr>
    </w:p>
    <w:p w14:paraId="6D4DC011" w14:textId="77777777" w:rsidR="007E1F00" w:rsidRPr="00E15F05" w:rsidRDefault="007E1F00" w:rsidP="007E1F00">
      <w:pPr>
        <w:spacing w:after="0" w:line="240" w:lineRule="auto"/>
        <w:ind w:right="-1" w:firstLine="567"/>
        <w:jc w:val="both"/>
      </w:pPr>
      <w:r w:rsidRPr="00E15F05">
        <w:t>Moldovos parlamente svarstant įstatymo, skirto kovai su diskriminacija, projektą, pareiškėjas – nevyriausybinė organizacija Moldovos nacionalinė jaunimo taryba – dalyvavo koalicijoje, kur buvo atsakingas už nemokamos pagalbos susidūrus su diskriminacija telefono linijos įdiegimo projektą. Kišiniovo mero paprašius leisti miesto stenduose iškabinti plakatus, vaizduojančius įvairius asmenis (pvz., juodaodį, rankomis susikibusius vyrus, neįgalųjį ir t. t.) su informacija apie šią liniją, sudaryta darbo grupė nustatė, kad plakatuose pavaizduotų bendruomenių nariai (t. y. neįgalieji, romai) išreiškė nepritarimą, todėl jų iškabinti neleista. Nors vėliau Nacionalinės konkurencijos apsaugos agentūros atlikta ekspertizė patvirtino reklamą nepažeidus teisės aktų, kartu paraginta atsižvelgti į minėtų bendruomenių nuomones.</w:t>
      </w:r>
    </w:p>
    <w:p w14:paraId="5ACE50A6" w14:textId="77777777" w:rsidR="007E1F00" w:rsidRPr="00E15F05" w:rsidRDefault="007E1F00" w:rsidP="007E1F00">
      <w:pPr>
        <w:spacing w:after="0" w:line="240" w:lineRule="auto"/>
        <w:ind w:right="-1" w:firstLine="567"/>
        <w:jc w:val="both"/>
      </w:pPr>
      <w:r w:rsidRPr="00E15F05">
        <w:t>Moldovos teismai pareiškėjo ieškinius, kuriais reikalauta leisti iškabinti plakatus, atmetė. Pareiškėjas, remdamasis Konvencijos 10 straipsniu, kreipėsi į EŽTT teigdamas, kad buvo neteisėtai ir neproporcingai kišamasi į jo laisvę naudoti karikatūras ir skleisti informaciją apie nemokamos pagalbos telefono linijos įdiegimą.</w:t>
      </w:r>
    </w:p>
    <w:p w14:paraId="37F8CF8A" w14:textId="77777777" w:rsidR="007E1F00" w:rsidRPr="00E15F05" w:rsidRDefault="007E1F00" w:rsidP="007E1F00">
      <w:pPr>
        <w:spacing w:after="0" w:line="240" w:lineRule="auto"/>
        <w:ind w:right="-1"/>
        <w:jc w:val="both"/>
      </w:pPr>
    </w:p>
    <w:p w14:paraId="5F3EB5CD" w14:textId="77777777" w:rsidR="007E1F00" w:rsidRPr="00E15F05" w:rsidRDefault="007E1F00" w:rsidP="007E1F00">
      <w:pPr>
        <w:spacing w:after="0" w:line="240" w:lineRule="auto"/>
        <w:ind w:right="-1"/>
        <w:jc w:val="center"/>
        <w:rPr>
          <w:b/>
          <w:bCs/>
        </w:rPr>
      </w:pPr>
      <w:r w:rsidRPr="00E15F05">
        <w:rPr>
          <w:b/>
          <w:bCs/>
        </w:rPr>
        <w:t>Neoficiali Teismo sprendimo apžvalga</w:t>
      </w:r>
    </w:p>
    <w:p w14:paraId="03D15D0E" w14:textId="77777777" w:rsidR="007E1F00" w:rsidRPr="00E15F05" w:rsidRDefault="007E1F00" w:rsidP="007E1F00">
      <w:pPr>
        <w:spacing w:after="0" w:line="240" w:lineRule="auto"/>
        <w:ind w:right="-1" w:firstLine="567"/>
        <w:jc w:val="both"/>
      </w:pPr>
    </w:p>
    <w:p w14:paraId="11EBA4ED" w14:textId="77777777" w:rsidR="007E1F00" w:rsidRPr="00E15F05" w:rsidRDefault="007E1F00" w:rsidP="007E1F00">
      <w:pPr>
        <w:spacing w:after="0" w:line="240" w:lineRule="auto"/>
        <w:ind w:right="-1" w:firstLine="567"/>
        <w:jc w:val="both"/>
      </w:pPr>
      <w:r w:rsidRPr="00E15F05">
        <w:t xml:space="preserve">Pirmiausia vertinta, ar iš tikrųjų atsisakymas leisti iškabinti plakatus buvo būtina priemonė siekiant apsaugoti kitų asmenų (neįgaliųjų ir romų bendruomenės) teisę į pagarbą jų orumui. Nors plakate karikatūromis vaizduoti neigiami stereotipai apie romus ir neįgaliuosius, atsižvelgta į tai, kad informacija apie pagalbos liniją buvo susijusi su visuomenei svarbia tema. Teismo jurisprudencijoje jau anksčiau pripažinta, kad </w:t>
      </w:r>
      <w:r w:rsidRPr="00E15F05">
        <w:rPr>
          <w:u w:val="single"/>
        </w:rPr>
        <w:t>kai nevyriausybinė organizacija atkreipia dėmesį į visuomenei svarbius klausimus, ji atlieka panašų vaidmenį kaip spauda, kas pagal Konvenciją garantuoja panašią apsaugą</w:t>
      </w:r>
      <w:r w:rsidRPr="00E15F05">
        <w:t xml:space="preserve">. Kadangi pareiškėjas savo plakatą iliustravo karikatūromis, pabrėžta, kad </w:t>
      </w:r>
      <w:r w:rsidRPr="00E15F05">
        <w:rPr>
          <w:u w:val="single"/>
        </w:rPr>
        <w:t>satyra yra meninės išraiškos ir socialinio komentaro forma, kuria siekiama provokuoti ir agituoti, taip prisidedant prie viešos diskusijos</w:t>
      </w:r>
      <w:r w:rsidRPr="00E15F05">
        <w:t>.</w:t>
      </w:r>
    </w:p>
    <w:p w14:paraId="1822CC7A" w14:textId="151AEC33" w:rsidR="007E1F00" w:rsidRPr="00E15F05" w:rsidRDefault="007E1F00" w:rsidP="007E1F00">
      <w:pPr>
        <w:spacing w:after="0" w:line="240" w:lineRule="auto"/>
        <w:ind w:right="-1" w:firstLine="567"/>
        <w:jc w:val="both"/>
      </w:pPr>
      <w:r w:rsidRPr="00E15F05">
        <w:t xml:space="preserve">Akcentuota, kad pareiškėjas prie plakate esančių karikatūrų prirašė tekstą, raginantį bendruomenes skambinti nemokama pagalbos linija, jei jos patirtų diskriminaciją. Teismas nesuabejojo, jog nebuvo siekiama įžeisti, išjuokti ar stigmatizuoti šias bendruomenes arba skatinti neapykantos kalbą ir netoleranciją. Anaiptol, vertinant platesniame kontekste, plakatas ir karikatūros aiškiai buvo priemonė atkreipti visuomenės dėmesį į socialinius stereotipus ir pažeidžiamų grupių patiriamą diskriminaciją, kartu skatinant jas ginti savo teises. Pabrėžta, kad </w:t>
      </w:r>
      <w:r w:rsidRPr="00E15F05">
        <w:rPr>
          <w:u w:val="single"/>
        </w:rPr>
        <w:t>plakatui buvus susijusiam su viešojo intereso klausimu, jis turėjo teisę į didesnę apsaugą pagal Konvencijos 10 straipsnį, taip sumažinant Moldovos valdžios institucijoms suteiktą diskreciją</w:t>
      </w:r>
      <w:r w:rsidRPr="00E15F05">
        <w:t xml:space="preserve">. Bylą nagrinėję nacionaliniai teismai pirmiausia rėmėsi dviejų organizacijų – romų ir neįgaliųjų, – su kuriomis konsultavosi Kišiniovo miestas, išreikštu nepritarimu, tačiau tokiu būdu ignoravo plakatų antidiskriminacinę idėją bei kontekstą, kai vyko viešos diskusijos dėl antidiskriminacinio įstatymo. Teismas atkreipė </w:t>
      </w:r>
      <w:r w:rsidR="006E3A0F" w:rsidRPr="00E15F05">
        <w:t xml:space="preserve">dėmesį </w:t>
      </w:r>
      <w:r w:rsidRPr="00E15F05">
        <w:t xml:space="preserve">į Moldovos aukščiausiojo teismo sprendimą netaikyti saviraiškos laisvės įstatymo nuostatų, o toks </w:t>
      </w:r>
      <w:r w:rsidRPr="00E15F05">
        <w:rPr>
          <w:u w:val="single"/>
        </w:rPr>
        <w:t>veiksmingos teisminės kontrolės nebuvimas laikytas savaime problemišku ir dar labiau sumažinusiu valstybės diskreciją</w:t>
      </w:r>
      <w:r w:rsidRPr="00E15F05">
        <w:t>.</w:t>
      </w:r>
    </w:p>
    <w:p w14:paraId="0A0B1687" w14:textId="7D3C37E5" w:rsidR="007E1F00" w:rsidRPr="00E15F05" w:rsidRDefault="007E1F00" w:rsidP="007E1F00">
      <w:pPr>
        <w:spacing w:after="0" w:line="240" w:lineRule="auto"/>
        <w:ind w:right="-1" w:firstLine="567"/>
        <w:jc w:val="both"/>
      </w:pPr>
      <w:r w:rsidRPr="00E15F05">
        <w:t xml:space="preserve">Teismas pažymėjo, kad ginčijamas plakatas, norėtas eksponuoti Kišiniovo gatvėse, galėjo paveikti šimtus tūkstančių žmonių, tačiau suabejojo, ar plakato, kuriame buvo aiškiai ir suprantamai išreikšta mintis prieš diskriminaciją, iškabinimas galėjo paskatinti ar pateisinti vaizduojamų bendruomenių diskriminaciją ar net kurstyti priešiškumą joms. Vis dėlto atsižvelgta į tai, kad pareiškėjui neleista eksponuoti savo plakatų tik </w:t>
      </w:r>
      <w:r w:rsidRPr="00E15F05">
        <w:lastRenderedPageBreak/>
        <w:t>Kišiniovo miesto reklaminiuose skyduose ir sklaidai jis galėjo naudotis kitomis komunikacijos priemonėmis, ypač internetu. Įvertinus tai, kad nacionaliniai teismai neatliko veiksmingos peržiūros, kaip reikalaujama pagal Konvencijos 10 straipsnį, taip pat tai, kad apžvelgiamas įsikišimas galėjo turėti slopinantį poveikį satyrinėms saviraiškos formoms, susijusioms su socialiniais klausimais, jis laikytas nebūtinu demokratinėje visuomenėje ir konstatuotas Konvencijos 10 straipsnio pažeidimas. Laikyta, kad pažeidimo konstatavimas savaime yra satisfakcija už pareiškėjo patirtą neturtinę žalą.</w:t>
      </w:r>
    </w:p>
    <w:p w14:paraId="666BE0FA" w14:textId="77777777" w:rsidR="007E1F00" w:rsidRPr="00E15F05" w:rsidRDefault="007E1F00" w:rsidP="007E1F00">
      <w:pPr>
        <w:spacing w:after="0" w:line="240" w:lineRule="auto"/>
        <w:ind w:right="-1" w:firstLine="567"/>
        <w:jc w:val="both"/>
        <w:rPr>
          <w:b/>
          <w:bCs/>
        </w:rPr>
      </w:pPr>
    </w:p>
    <w:p w14:paraId="53A2CFE7" w14:textId="77777777" w:rsidR="007E1F00" w:rsidRPr="00E15F05" w:rsidRDefault="007E1F00" w:rsidP="007E1F00">
      <w:pPr>
        <w:spacing w:after="0" w:line="240" w:lineRule="auto"/>
        <w:ind w:right="-1" w:firstLine="567"/>
        <w:jc w:val="both"/>
      </w:pPr>
      <w:r w:rsidRPr="00E15F05">
        <w:t>Išvada: nustatytas Konvencijos 10 straipsnio pažeidimas (vienbalsiai).</w:t>
      </w:r>
    </w:p>
    <w:p w14:paraId="280EBF24" w14:textId="51774C19" w:rsidR="007E1F00" w:rsidRPr="006E3A0F" w:rsidRDefault="007E1F00" w:rsidP="007E1F00">
      <w:pPr>
        <w:spacing w:after="0" w:line="240" w:lineRule="auto"/>
        <w:ind w:right="-1" w:firstLine="567"/>
        <w:jc w:val="both"/>
      </w:pPr>
      <w:hyperlink r:id="rId23" w:history="1">
        <w:r w:rsidRPr="00E15F05">
          <w:rPr>
            <w:rStyle w:val="Hipersaitas"/>
          </w:rPr>
          <w:t>Prieiga internete</w:t>
        </w:r>
      </w:hyperlink>
      <w:r w:rsidR="002B594F" w:rsidRPr="006E3A0F">
        <w:rPr>
          <w:rStyle w:val="Hipersaitas"/>
          <w:u w:val="none"/>
        </w:rPr>
        <w:t xml:space="preserve"> (prancūzų k.)</w:t>
      </w:r>
    </w:p>
    <w:bookmarkEnd w:id="1"/>
    <w:bookmarkEnd w:id="2"/>
    <w:p w14:paraId="1F60971E" w14:textId="77777777" w:rsidR="00837CD5" w:rsidRPr="00C170C3" w:rsidRDefault="00837CD5" w:rsidP="00837CD5">
      <w:pPr>
        <w:spacing w:after="0" w:line="240" w:lineRule="auto"/>
        <w:ind w:right="-1"/>
      </w:pPr>
    </w:p>
    <w:p w14:paraId="5792182A" w14:textId="77777777" w:rsidR="00837CD5" w:rsidRPr="00C170C3" w:rsidRDefault="00837CD5" w:rsidP="00837CD5">
      <w:pPr>
        <w:pStyle w:val="Antrat1"/>
        <w:spacing w:before="0"/>
        <w:ind w:right="-1"/>
        <w:rPr>
          <w:rFonts w:eastAsia="Times New Roman" w:cstheme="minorHAnsi"/>
          <w:szCs w:val="22"/>
        </w:rPr>
      </w:pPr>
      <w:bookmarkStart w:id="45" w:name="_Toc181709513"/>
      <w:r w:rsidRPr="00C170C3">
        <w:rPr>
          <w:rFonts w:eastAsia="Times New Roman" w:cstheme="minorHAnsi"/>
          <w:szCs w:val="22"/>
        </w:rPr>
        <w:t>NUOSAVYBĖS APSAUGA (Protokolo Nr. 1 1 straipsnis)</w:t>
      </w:r>
      <w:bookmarkEnd w:id="45"/>
    </w:p>
    <w:p w14:paraId="1AB5DAED" w14:textId="77777777" w:rsidR="00837CD5" w:rsidRDefault="00837CD5" w:rsidP="00837CD5">
      <w:pPr>
        <w:spacing w:after="0" w:line="240" w:lineRule="auto"/>
        <w:ind w:right="-1"/>
        <w:jc w:val="center"/>
        <w:rPr>
          <w:rFonts w:cstheme="minorHAnsi"/>
          <w:b/>
        </w:rPr>
      </w:pPr>
    </w:p>
    <w:p w14:paraId="155F92E4" w14:textId="77777777" w:rsidR="00246199" w:rsidRPr="000C65AA" w:rsidRDefault="00246199" w:rsidP="00246199">
      <w:pPr>
        <w:spacing w:after="0" w:line="240" w:lineRule="auto"/>
        <w:jc w:val="center"/>
        <w:rPr>
          <w:rFonts w:cs="Arial"/>
          <w:b/>
        </w:rPr>
      </w:pPr>
      <w:r w:rsidRPr="000C65AA">
        <w:rPr>
          <w:rFonts w:cs="Arial"/>
          <w:b/>
        </w:rPr>
        <w:t>Europos Žmogaus Teisių Teismo 202</w:t>
      </w:r>
      <w:r>
        <w:rPr>
          <w:rFonts w:cs="Arial"/>
          <w:b/>
        </w:rPr>
        <w:t>4</w:t>
      </w:r>
      <w:r w:rsidRPr="000C65AA">
        <w:rPr>
          <w:rFonts w:cs="Arial"/>
          <w:b/>
        </w:rPr>
        <w:t xml:space="preserve"> m. </w:t>
      </w:r>
      <w:r>
        <w:rPr>
          <w:rFonts w:cs="Arial"/>
          <w:b/>
        </w:rPr>
        <w:t>sausio</w:t>
      </w:r>
      <w:r w:rsidRPr="000C65AA">
        <w:rPr>
          <w:rFonts w:cs="Arial"/>
          <w:b/>
        </w:rPr>
        <w:t xml:space="preserve"> </w:t>
      </w:r>
      <w:r>
        <w:rPr>
          <w:rFonts w:cs="Arial"/>
          <w:b/>
        </w:rPr>
        <w:t>9</w:t>
      </w:r>
      <w:r w:rsidRPr="000C65AA">
        <w:rPr>
          <w:rFonts w:cs="Arial"/>
          <w:b/>
        </w:rPr>
        <w:t xml:space="preserve"> d. </w:t>
      </w:r>
      <w:r>
        <w:rPr>
          <w:rFonts w:cs="Arial"/>
          <w:b/>
        </w:rPr>
        <w:t>sprendimas dėl priimtinumo</w:t>
      </w:r>
      <w:r w:rsidRPr="000C65AA">
        <w:rPr>
          <w:rFonts w:cs="Arial"/>
          <w:b/>
        </w:rPr>
        <w:t xml:space="preserve"> byloje</w:t>
      </w:r>
    </w:p>
    <w:p w14:paraId="0E9302D5" w14:textId="77777777" w:rsidR="00246199" w:rsidRPr="00246199" w:rsidRDefault="00246199" w:rsidP="00246199">
      <w:pPr>
        <w:keepNext/>
        <w:keepLines/>
        <w:spacing w:after="0" w:line="240" w:lineRule="auto"/>
        <w:jc w:val="center"/>
        <w:outlineLvl w:val="1"/>
        <w:rPr>
          <w:rFonts w:ascii="Calibri" w:eastAsia="Times New Roman" w:hAnsi="Calibri" w:cs="Times New Roman"/>
          <w:b/>
          <w:bCs/>
          <w:i/>
          <w:iCs/>
          <w:color w:val="2E74B5"/>
        </w:rPr>
      </w:pPr>
      <w:bookmarkStart w:id="46" w:name="_Toc181709514"/>
      <w:r w:rsidRPr="00246199">
        <w:rPr>
          <w:rFonts w:ascii="Calibri" w:eastAsia="Times New Roman" w:hAnsi="Calibri" w:cs="Times New Roman"/>
          <w:b/>
          <w:bCs/>
          <w:i/>
          <w:iCs/>
          <w:color w:val="2E74B5"/>
        </w:rPr>
        <w:t>Atasagün prieš Turkiją</w:t>
      </w:r>
      <w:bookmarkEnd w:id="46"/>
    </w:p>
    <w:p w14:paraId="38E05C3A" w14:textId="77777777" w:rsidR="00246199" w:rsidRPr="000C65AA" w:rsidRDefault="00246199" w:rsidP="00246199">
      <w:pPr>
        <w:spacing w:after="0" w:line="240" w:lineRule="auto"/>
        <w:jc w:val="center"/>
        <w:rPr>
          <w:rFonts w:cs="Arial"/>
          <w:b/>
        </w:rPr>
      </w:pPr>
      <w:r w:rsidRPr="000C65AA">
        <w:rPr>
          <w:rFonts w:cs="Arial"/>
          <w:b/>
        </w:rPr>
        <w:t>(pareiškim</w:t>
      </w:r>
      <w:r>
        <w:rPr>
          <w:rFonts w:cs="Arial"/>
          <w:b/>
        </w:rPr>
        <w:t>o</w:t>
      </w:r>
      <w:r w:rsidRPr="000C65AA">
        <w:rPr>
          <w:rFonts w:cs="Arial"/>
          <w:b/>
        </w:rPr>
        <w:t xml:space="preserve"> Nr. </w:t>
      </w:r>
      <w:r w:rsidRPr="00F32A57">
        <w:rPr>
          <w:rFonts w:cs="Arial"/>
          <w:b/>
        </w:rPr>
        <w:t>24621/21</w:t>
      </w:r>
      <w:r w:rsidRPr="000C65AA">
        <w:rPr>
          <w:rFonts w:cs="Arial"/>
          <w:b/>
        </w:rPr>
        <w:t xml:space="preserve">, </w:t>
      </w:r>
      <w:r w:rsidRPr="00697E97">
        <w:rPr>
          <w:rFonts w:cs="Arial"/>
          <w:b/>
        </w:rPr>
        <w:t xml:space="preserve">svarbos lygis – </w:t>
      </w:r>
      <w:r>
        <w:rPr>
          <w:rFonts w:cs="Arial"/>
          <w:b/>
        </w:rPr>
        <w:t>2</w:t>
      </w:r>
      <w:r w:rsidRPr="000C65AA">
        <w:rPr>
          <w:rFonts w:cs="Arial"/>
          <w:b/>
        </w:rPr>
        <w:t>)</w:t>
      </w:r>
    </w:p>
    <w:p w14:paraId="123EF56A" w14:textId="77777777" w:rsidR="00246199" w:rsidRPr="000C65AA" w:rsidRDefault="00246199" w:rsidP="00246199">
      <w:pPr>
        <w:spacing w:after="0" w:line="240" w:lineRule="auto"/>
        <w:jc w:val="center"/>
        <w:rPr>
          <w:rFonts w:cs="Arial"/>
        </w:rPr>
      </w:pPr>
    </w:p>
    <w:p w14:paraId="14599CE8" w14:textId="77777777" w:rsidR="00246199" w:rsidRPr="00246199" w:rsidRDefault="00246199" w:rsidP="00246199">
      <w:pPr>
        <w:pStyle w:val="Antrat3"/>
        <w:spacing w:before="0" w:line="240" w:lineRule="auto"/>
        <w:ind w:right="-1" w:firstLine="567"/>
        <w:rPr>
          <w:rFonts w:ascii="Calibri" w:eastAsia="Times New Roman" w:hAnsi="Calibri" w:cs="Times New Roman"/>
        </w:rPr>
      </w:pPr>
      <w:bookmarkStart w:id="47" w:name="_Toc181709515"/>
      <w:r w:rsidRPr="00246199">
        <w:rPr>
          <w:rFonts w:ascii="Calibri" w:eastAsia="Times New Roman" w:hAnsi="Calibri" w:cs="Times New Roman"/>
        </w:rPr>
        <w:t>Dėl valstybės atsakomybės apimties užtikrinant nuosavybės apsaugą stichinių nelaimių atveju</w:t>
      </w:r>
      <w:bookmarkEnd w:id="47"/>
    </w:p>
    <w:p w14:paraId="4CE52900" w14:textId="77777777" w:rsidR="00246199" w:rsidRPr="000C65AA" w:rsidRDefault="00246199" w:rsidP="00246199">
      <w:pPr>
        <w:spacing w:after="0" w:line="240" w:lineRule="auto"/>
        <w:jc w:val="center"/>
        <w:rPr>
          <w:rFonts w:cs="Arial"/>
          <w:b/>
        </w:rPr>
      </w:pPr>
    </w:p>
    <w:p w14:paraId="0E62D219" w14:textId="77777777" w:rsidR="00246199" w:rsidRPr="000C65AA" w:rsidRDefault="00246199" w:rsidP="00246199">
      <w:pPr>
        <w:spacing w:after="0" w:line="240" w:lineRule="auto"/>
        <w:jc w:val="center"/>
        <w:rPr>
          <w:rFonts w:cs="Arial"/>
          <w:b/>
        </w:rPr>
      </w:pPr>
      <w:r w:rsidRPr="000C65AA">
        <w:rPr>
          <w:rFonts w:cs="Arial"/>
          <w:b/>
        </w:rPr>
        <w:t>Faktinės aplinkybės</w:t>
      </w:r>
    </w:p>
    <w:p w14:paraId="0022CE8B" w14:textId="77777777" w:rsidR="00246199" w:rsidRPr="000C65AA" w:rsidRDefault="00246199" w:rsidP="00246199">
      <w:pPr>
        <w:spacing w:after="0" w:line="240" w:lineRule="auto"/>
        <w:rPr>
          <w:rFonts w:cs="Arial"/>
          <w:b/>
        </w:rPr>
      </w:pPr>
    </w:p>
    <w:p w14:paraId="525A6C95" w14:textId="77777777" w:rsidR="00246199" w:rsidRDefault="00246199" w:rsidP="00246199">
      <w:pPr>
        <w:spacing w:after="0" w:line="240" w:lineRule="auto"/>
        <w:ind w:firstLine="567"/>
        <w:jc w:val="both"/>
        <w:rPr>
          <w:rFonts w:cs="Arial"/>
        </w:rPr>
      </w:pPr>
      <w:r>
        <w:rPr>
          <w:rFonts w:cs="Arial"/>
        </w:rPr>
        <w:t>Pareiškėjui savivaldybė išdavė leidimą gyvenamojo namo statyboms jam priklausančiame žemės sklype, kuriame atlikus grunto tyrimus buvo nustatyta n</w:t>
      </w:r>
      <w:r w:rsidRPr="009D6D55">
        <w:rPr>
          <w:rFonts w:cs="Arial"/>
        </w:rPr>
        <w:t>u</w:t>
      </w:r>
      <w:r>
        <w:rPr>
          <w:rFonts w:cs="Arial"/>
        </w:rPr>
        <w:t>ošliaužų</w:t>
      </w:r>
      <w:r w:rsidRPr="009D6D55">
        <w:rPr>
          <w:rFonts w:cs="Arial"/>
        </w:rPr>
        <w:t xml:space="preserve"> rizika</w:t>
      </w:r>
      <w:r>
        <w:rPr>
          <w:rFonts w:cs="Arial"/>
        </w:rPr>
        <w:t xml:space="preserve"> ir </w:t>
      </w:r>
      <w:r w:rsidRPr="009D6D55">
        <w:rPr>
          <w:rFonts w:cs="Arial"/>
        </w:rPr>
        <w:t>specialisto išvadoje rekomenduo</w:t>
      </w:r>
      <w:r>
        <w:rPr>
          <w:rFonts w:cs="Arial"/>
        </w:rPr>
        <w:t>t</w:t>
      </w:r>
      <w:r w:rsidRPr="009D6D55">
        <w:rPr>
          <w:rFonts w:cs="Arial"/>
        </w:rPr>
        <w:t xml:space="preserve">os konkrečios </w:t>
      </w:r>
      <w:r>
        <w:rPr>
          <w:rFonts w:cs="Arial"/>
        </w:rPr>
        <w:t>priemonės bei statybos specifikacijos šiai rizikai suvaldyti.</w:t>
      </w:r>
      <w:r w:rsidRPr="003F145E">
        <w:rPr>
          <w:rFonts w:cs="Arial"/>
        </w:rPr>
        <w:t xml:space="preserve"> </w:t>
      </w:r>
      <w:r>
        <w:rPr>
          <w:rFonts w:cs="Arial"/>
        </w:rPr>
        <w:t xml:space="preserve">Baigus statybos darbus savivaldybė pareiškėjui išdavė leidimą gyventi, tačiau vėliau sklype įvyko nuošliauža, </w:t>
      </w:r>
      <w:r w:rsidRPr="00DB1007">
        <w:rPr>
          <w:rFonts w:cs="Arial"/>
        </w:rPr>
        <w:t xml:space="preserve">nuo </w:t>
      </w:r>
      <w:r>
        <w:rPr>
          <w:rFonts w:cs="Arial"/>
        </w:rPr>
        <w:t>kurios</w:t>
      </w:r>
      <w:r w:rsidRPr="00DB1007">
        <w:rPr>
          <w:rFonts w:cs="Arial"/>
        </w:rPr>
        <w:t xml:space="preserve"> nukentėjo pareiškėjo namas</w:t>
      </w:r>
      <w:r>
        <w:rPr>
          <w:rFonts w:cs="Arial"/>
        </w:rPr>
        <w:t>. Po nuošliaužos parengtose specialistų išvadose nustatyta, kad ji įvyko dėl to, jog statybų metu nebuvo laikytasi minėtų rekomendacijų. Atitinkamai buvo pateiktos naujos rekomendacijos ir pareiškėjo keletą kartų pakartotinai prašoma imtis būtinų priemonių, tačiau pareiškėjas jų nevykdė. Į</w:t>
      </w:r>
      <w:r w:rsidRPr="00922A68">
        <w:rPr>
          <w:rFonts w:cs="Arial"/>
        </w:rPr>
        <w:t xml:space="preserve"> nekilnojamojo turto registrą įtraukt</w:t>
      </w:r>
      <w:r>
        <w:rPr>
          <w:rFonts w:cs="Arial"/>
        </w:rPr>
        <w:t>us pastabą</w:t>
      </w:r>
      <w:r w:rsidRPr="00922A68">
        <w:rPr>
          <w:rFonts w:cs="Arial"/>
        </w:rPr>
        <w:t>, kad pareiškėjo žemė yra nelaimės zonoje</w:t>
      </w:r>
      <w:r>
        <w:rPr>
          <w:rFonts w:cs="Arial"/>
        </w:rPr>
        <w:t xml:space="preserve">, jam buvo </w:t>
      </w:r>
      <w:r w:rsidRPr="00922A68">
        <w:rPr>
          <w:rFonts w:cs="Arial"/>
        </w:rPr>
        <w:t>išmokė</w:t>
      </w:r>
      <w:r>
        <w:rPr>
          <w:rFonts w:cs="Arial"/>
        </w:rPr>
        <w:t>ta</w:t>
      </w:r>
      <w:r w:rsidRPr="00922A68">
        <w:rPr>
          <w:rFonts w:cs="Arial"/>
        </w:rPr>
        <w:t xml:space="preserve"> trijų mėnesių nuomos dydžio </w:t>
      </w:r>
      <w:r>
        <w:rPr>
          <w:rFonts w:cs="Arial"/>
        </w:rPr>
        <w:t xml:space="preserve">kompensacija, tačiau pareiškėjui </w:t>
      </w:r>
      <w:r w:rsidRPr="00922A68">
        <w:rPr>
          <w:rFonts w:cs="Arial"/>
        </w:rPr>
        <w:t>kreip</w:t>
      </w:r>
      <w:r>
        <w:rPr>
          <w:rFonts w:cs="Arial"/>
        </w:rPr>
        <w:t>u</w:t>
      </w:r>
      <w:r w:rsidRPr="00922A68">
        <w:rPr>
          <w:rFonts w:cs="Arial"/>
        </w:rPr>
        <w:t>si</w:t>
      </w:r>
      <w:r>
        <w:rPr>
          <w:rFonts w:cs="Arial"/>
        </w:rPr>
        <w:t>s</w:t>
      </w:r>
      <w:r w:rsidRPr="00922A68">
        <w:rPr>
          <w:rFonts w:cs="Arial"/>
        </w:rPr>
        <w:t xml:space="preserve"> dėl tolesnės pagalbos</w:t>
      </w:r>
      <w:r>
        <w:rPr>
          <w:rFonts w:cs="Arial"/>
        </w:rPr>
        <w:t xml:space="preserve"> </w:t>
      </w:r>
      <w:r w:rsidRPr="00922A68">
        <w:rPr>
          <w:rFonts w:cs="Arial"/>
        </w:rPr>
        <w:t xml:space="preserve">savivaldybė </w:t>
      </w:r>
      <w:r>
        <w:rPr>
          <w:rFonts w:cs="Arial"/>
        </w:rPr>
        <w:t>nustatė, kad jis ir toliau gyvena savo</w:t>
      </w:r>
      <w:r w:rsidRPr="00922A68">
        <w:rPr>
          <w:rFonts w:cs="Arial"/>
        </w:rPr>
        <w:t xml:space="preserve"> nam</w:t>
      </w:r>
      <w:r>
        <w:rPr>
          <w:rFonts w:cs="Arial"/>
        </w:rPr>
        <w:t xml:space="preserve">uose, todėl </w:t>
      </w:r>
      <w:r w:rsidRPr="00922A68">
        <w:rPr>
          <w:rFonts w:cs="Arial"/>
        </w:rPr>
        <w:t>šį prašymą atmetė.</w:t>
      </w:r>
    </w:p>
    <w:p w14:paraId="720471E9" w14:textId="77777777" w:rsidR="00246199" w:rsidRDefault="00246199" w:rsidP="00246199">
      <w:pPr>
        <w:spacing w:after="0" w:line="240" w:lineRule="auto"/>
        <w:ind w:firstLine="567"/>
        <w:jc w:val="both"/>
        <w:rPr>
          <w:rFonts w:cs="Arial"/>
        </w:rPr>
      </w:pPr>
      <w:r>
        <w:rPr>
          <w:rFonts w:cs="Arial"/>
        </w:rPr>
        <w:t xml:space="preserve">Pareiškėjas kreipėsi į teismą dėl nuošliaužos padarytos žalos jo namui atlyginimo, teigdamas, kad dėl savivaldybės kaltės žemė nepagrįstai buvo pripažinta tinkama statyboms. Teismas nusprendė atlikti ekspertizę, kurios metu nustatyta, kad: </w:t>
      </w:r>
      <w:r w:rsidRPr="00863456">
        <w:rPr>
          <w:rFonts w:cs="Arial"/>
        </w:rPr>
        <w:t>žalos namui nebūtų buvę</w:t>
      </w:r>
      <w:r>
        <w:rPr>
          <w:rFonts w:cs="Arial"/>
        </w:rPr>
        <w:t xml:space="preserve">, </w:t>
      </w:r>
      <w:r w:rsidRPr="00863456">
        <w:rPr>
          <w:rFonts w:cs="Arial"/>
        </w:rPr>
        <w:t xml:space="preserve">jeigu statybos projektas būtų įgyvendintas atsižvelgiant į grunto savybes; tokia žala atsirado dėl inžinerinės klaidos, o ne dėl </w:t>
      </w:r>
      <w:r>
        <w:rPr>
          <w:rFonts w:cs="Arial"/>
        </w:rPr>
        <w:t xml:space="preserve">netinkamo </w:t>
      </w:r>
      <w:r w:rsidRPr="00863456">
        <w:rPr>
          <w:rFonts w:cs="Arial"/>
        </w:rPr>
        <w:t>teritorijų plan</w:t>
      </w:r>
      <w:r>
        <w:rPr>
          <w:rFonts w:cs="Arial"/>
        </w:rPr>
        <w:t>avimo</w:t>
      </w:r>
      <w:r w:rsidRPr="00863456">
        <w:rPr>
          <w:rFonts w:cs="Arial"/>
        </w:rPr>
        <w:t xml:space="preserve">; </w:t>
      </w:r>
      <w:r>
        <w:rPr>
          <w:rFonts w:cs="Arial"/>
        </w:rPr>
        <w:t xml:space="preserve">pareiškėjas galėjo imtis individualių priemonių ir </w:t>
      </w:r>
      <w:r w:rsidRPr="00863456">
        <w:rPr>
          <w:rFonts w:cs="Arial"/>
        </w:rPr>
        <w:t xml:space="preserve">pagal </w:t>
      </w:r>
      <w:r>
        <w:rPr>
          <w:rFonts w:cs="Arial"/>
        </w:rPr>
        <w:t>statybos</w:t>
      </w:r>
      <w:r w:rsidRPr="00863456">
        <w:rPr>
          <w:rFonts w:cs="Arial"/>
        </w:rPr>
        <w:t xml:space="preserve"> taisykles nusausinti gruntą </w:t>
      </w:r>
      <w:r>
        <w:rPr>
          <w:rFonts w:cs="Arial"/>
        </w:rPr>
        <w:t>be</w:t>
      </w:r>
      <w:r w:rsidRPr="00863456">
        <w:rPr>
          <w:rFonts w:cs="Arial"/>
        </w:rPr>
        <w:t>i pastatyti atraminę sienelę</w:t>
      </w:r>
      <w:r>
        <w:rPr>
          <w:rFonts w:cs="Arial"/>
        </w:rPr>
        <w:t>, kad išvengtų nuošliaužos</w:t>
      </w:r>
      <w:r w:rsidRPr="00863456">
        <w:rPr>
          <w:rFonts w:cs="Arial"/>
        </w:rPr>
        <w:t xml:space="preserve">; pareiga patikrinti, ar statinio projektas buvo tinkamai parengtas ir įgyvendintas, savivaldybei nepriklausė; nebuvo problemų dėl pastato </w:t>
      </w:r>
      <w:r>
        <w:rPr>
          <w:rFonts w:cs="Arial"/>
        </w:rPr>
        <w:t>laikančiųjų konstrukcijų ir</w:t>
      </w:r>
      <w:r w:rsidRPr="00863456">
        <w:rPr>
          <w:rFonts w:cs="Arial"/>
        </w:rPr>
        <w:t xml:space="preserve"> namas vis dar buvo tinkamas gyventi.</w:t>
      </w:r>
      <w:r>
        <w:rPr>
          <w:rFonts w:cs="Arial"/>
        </w:rPr>
        <w:t xml:space="preserve"> Atsižvelgiant į tai, konstatuota, kad </w:t>
      </w:r>
      <w:r w:rsidRPr="00863456">
        <w:rPr>
          <w:rFonts w:cs="Arial"/>
        </w:rPr>
        <w:t xml:space="preserve">savivaldybė, suteikdama pareiškėjui statybos leidimą, nepadarė </w:t>
      </w:r>
      <w:r>
        <w:rPr>
          <w:rFonts w:cs="Arial"/>
        </w:rPr>
        <w:t>jokios klaidos, todėl pareiškėjo skundas atmestas. Nors pareiškėjas šį teismo sprendimą skundė aukštesnės instancijos teismams, jo reikalavimas dėl žalos atlyginimo nebuvo tenkintas.</w:t>
      </w:r>
    </w:p>
    <w:p w14:paraId="2F92E172" w14:textId="4A1EFFD7" w:rsidR="00246199" w:rsidRDefault="00246199" w:rsidP="00246199">
      <w:pPr>
        <w:spacing w:after="0" w:line="240" w:lineRule="auto"/>
        <w:ind w:firstLine="567"/>
        <w:jc w:val="both"/>
        <w:rPr>
          <w:rFonts w:cs="Arial"/>
        </w:rPr>
      </w:pPr>
      <w:r>
        <w:rPr>
          <w:rFonts w:cs="Arial"/>
        </w:rPr>
        <w:t>EŽTT pateiktame pareiškime p</w:t>
      </w:r>
      <w:r w:rsidRPr="00BC7A00">
        <w:rPr>
          <w:rFonts w:cs="Arial"/>
        </w:rPr>
        <w:t>areiškėja</w:t>
      </w:r>
      <w:r>
        <w:rPr>
          <w:rFonts w:cs="Arial"/>
        </w:rPr>
        <w:t>s</w:t>
      </w:r>
      <w:r w:rsidRPr="00BC7A00">
        <w:rPr>
          <w:rFonts w:cs="Arial"/>
        </w:rPr>
        <w:t xml:space="preserve"> skundėsi</w:t>
      </w:r>
      <w:r>
        <w:rPr>
          <w:rFonts w:cs="Arial"/>
        </w:rPr>
        <w:t xml:space="preserve">, jog </w:t>
      </w:r>
      <w:r w:rsidRPr="00BF25AE">
        <w:rPr>
          <w:rFonts w:cs="Arial"/>
        </w:rPr>
        <w:t>administracinės institucijos padarė klaidą, kai rengdamos miesto urbanistikos planą paskelbė, kad jo žemė yra tinkama statyti, nors ji yra nuošliaužų vietovėje</w:t>
      </w:r>
      <w:r>
        <w:rPr>
          <w:rFonts w:cs="Arial"/>
        </w:rPr>
        <w:t xml:space="preserve">, ir dėl </w:t>
      </w:r>
      <w:r w:rsidRPr="00BF25AE">
        <w:rPr>
          <w:rFonts w:cs="Arial"/>
        </w:rPr>
        <w:t xml:space="preserve">žemės ypatybių savivaldybė </w:t>
      </w:r>
      <w:r>
        <w:rPr>
          <w:rFonts w:cs="Arial"/>
        </w:rPr>
        <w:t>pareiškėjui</w:t>
      </w:r>
      <w:r w:rsidRPr="00BF25AE">
        <w:rPr>
          <w:rFonts w:cs="Arial"/>
        </w:rPr>
        <w:t xml:space="preserve"> neturėjo išduoti statybos leidimo</w:t>
      </w:r>
      <w:r>
        <w:rPr>
          <w:rFonts w:cs="Arial"/>
        </w:rPr>
        <w:t>. Pareiškėjo teigimu</w:t>
      </w:r>
      <w:r w:rsidRPr="00BF25AE">
        <w:rPr>
          <w:rFonts w:cs="Arial"/>
        </w:rPr>
        <w:t xml:space="preserve">, </w:t>
      </w:r>
      <w:r>
        <w:rPr>
          <w:rFonts w:cs="Arial"/>
        </w:rPr>
        <w:t xml:space="preserve">jis </w:t>
      </w:r>
      <w:r w:rsidRPr="00BF25AE">
        <w:rPr>
          <w:rFonts w:cs="Arial"/>
        </w:rPr>
        <w:t xml:space="preserve">neteko </w:t>
      </w:r>
      <w:r>
        <w:rPr>
          <w:rFonts w:cs="Arial"/>
        </w:rPr>
        <w:t xml:space="preserve">galimybės </w:t>
      </w:r>
      <w:r w:rsidRPr="00BF25AE">
        <w:rPr>
          <w:rFonts w:cs="Arial"/>
        </w:rPr>
        <w:t>naudotis savo turtu, negavęs jokios kompensacijos</w:t>
      </w:r>
      <w:r>
        <w:rPr>
          <w:rFonts w:cs="Arial"/>
        </w:rPr>
        <w:t xml:space="preserve">, o tai </w:t>
      </w:r>
      <w:r w:rsidRPr="00E14E73">
        <w:rPr>
          <w:rFonts w:cs="Arial"/>
        </w:rPr>
        <w:t xml:space="preserve">lėmė Konvencijos </w:t>
      </w:r>
      <w:r>
        <w:rPr>
          <w:rFonts w:cs="Arial"/>
        </w:rPr>
        <w:t>P</w:t>
      </w:r>
      <w:r w:rsidRPr="00E14E73">
        <w:rPr>
          <w:rFonts w:cs="Arial"/>
        </w:rPr>
        <w:t xml:space="preserve">rotokolo </w:t>
      </w:r>
      <w:r>
        <w:rPr>
          <w:rFonts w:cs="Arial"/>
        </w:rPr>
        <w:t>Nr.</w:t>
      </w:r>
      <w:r w:rsidR="0093496B">
        <w:rPr>
          <w:rFonts w:cs="Arial"/>
        </w:rPr>
        <w:t> </w:t>
      </w:r>
      <w:r w:rsidRPr="00E14E73">
        <w:rPr>
          <w:rFonts w:cs="Arial"/>
        </w:rPr>
        <w:t xml:space="preserve">1 </w:t>
      </w:r>
      <w:r>
        <w:rPr>
          <w:rFonts w:cs="Arial"/>
        </w:rPr>
        <w:t xml:space="preserve">1 </w:t>
      </w:r>
      <w:r w:rsidRPr="00E14E73">
        <w:rPr>
          <w:rFonts w:cs="Arial"/>
        </w:rPr>
        <w:t>straipsnio pažeidimą.</w:t>
      </w:r>
    </w:p>
    <w:p w14:paraId="30DF982C" w14:textId="77777777" w:rsidR="00246199" w:rsidRPr="000C65AA" w:rsidRDefault="00246199" w:rsidP="00246199">
      <w:pPr>
        <w:spacing w:after="0" w:line="240" w:lineRule="auto"/>
        <w:ind w:firstLine="567"/>
        <w:jc w:val="both"/>
        <w:rPr>
          <w:rStyle w:val="tlid-translation"/>
        </w:rPr>
      </w:pPr>
    </w:p>
    <w:p w14:paraId="0CDDADF3" w14:textId="77777777" w:rsidR="00246199" w:rsidRPr="000C65AA" w:rsidRDefault="00246199" w:rsidP="00246199">
      <w:pPr>
        <w:spacing w:after="0" w:line="240" w:lineRule="auto"/>
        <w:jc w:val="center"/>
        <w:rPr>
          <w:rFonts w:cs="Arial"/>
        </w:rPr>
      </w:pPr>
      <w:r w:rsidRPr="000C65AA">
        <w:rPr>
          <w:rFonts w:cs="Arial"/>
          <w:b/>
        </w:rPr>
        <w:t>Neoficiali Teismo sprendimo apžvalga</w:t>
      </w:r>
    </w:p>
    <w:p w14:paraId="2F66EE36" w14:textId="77777777" w:rsidR="00246199" w:rsidRPr="000C65AA" w:rsidRDefault="00246199" w:rsidP="00246199">
      <w:pPr>
        <w:spacing w:after="0" w:line="240" w:lineRule="auto"/>
        <w:ind w:firstLine="567"/>
        <w:jc w:val="both"/>
        <w:rPr>
          <w:rStyle w:val="tlid-translation"/>
        </w:rPr>
      </w:pPr>
    </w:p>
    <w:p w14:paraId="1ACD6A88" w14:textId="77777777" w:rsidR="00246199" w:rsidRDefault="00246199" w:rsidP="00246199">
      <w:pPr>
        <w:spacing w:after="0" w:line="240" w:lineRule="auto"/>
        <w:ind w:firstLine="567"/>
        <w:jc w:val="both"/>
      </w:pPr>
      <w:r>
        <w:t xml:space="preserve">Visų pirma, Teismas pažymėjo, kad pareiškėjas pateko į </w:t>
      </w:r>
      <w:r w:rsidRPr="00E14E73">
        <w:rPr>
          <w:rFonts w:cs="Arial"/>
        </w:rPr>
        <w:t xml:space="preserve">Konvencijos </w:t>
      </w:r>
      <w:r>
        <w:rPr>
          <w:rFonts w:cs="Arial"/>
        </w:rPr>
        <w:t>P</w:t>
      </w:r>
      <w:r w:rsidRPr="00E14E73">
        <w:rPr>
          <w:rFonts w:cs="Arial"/>
        </w:rPr>
        <w:t xml:space="preserve">rotokolo </w:t>
      </w:r>
      <w:r>
        <w:rPr>
          <w:rFonts w:cs="Arial"/>
        </w:rPr>
        <w:t xml:space="preserve">Nr. </w:t>
      </w:r>
      <w:r w:rsidRPr="00E14E73">
        <w:rPr>
          <w:rFonts w:cs="Arial"/>
        </w:rPr>
        <w:t xml:space="preserve">1 </w:t>
      </w:r>
      <w:r>
        <w:rPr>
          <w:rFonts w:cs="Arial"/>
        </w:rPr>
        <w:t xml:space="preserve">1 </w:t>
      </w:r>
      <w:r w:rsidRPr="00E14E73">
        <w:rPr>
          <w:rFonts w:cs="Arial"/>
        </w:rPr>
        <w:t>straipsnio</w:t>
      </w:r>
      <w:r>
        <w:rPr>
          <w:rFonts w:cs="Arial"/>
        </w:rPr>
        <w:t xml:space="preserve"> taikymo sritį, kaip </w:t>
      </w:r>
      <w:r w:rsidRPr="007F215C">
        <w:rPr>
          <w:rFonts w:cs="Arial"/>
        </w:rPr>
        <w:t>šios nuostatos saugomo turto</w:t>
      </w:r>
      <w:r>
        <w:rPr>
          <w:rFonts w:cs="Arial"/>
        </w:rPr>
        <w:t>,</w:t>
      </w:r>
      <w:r w:rsidRPr="007F215C">
        <w:t xml:space="preserve"> </w:t>
      </w:r>
      <w:r>
        <w:t>kuris buvo apgadintas dėl nuošliaužos,</w:t>
      </w:r>
      <w:r w:rsidRPr="007F215C">
        <w:rPr>
          <w:rFonts w:cs="Arial"/>
        </w:rPr>
        <w:t xml:space="preserve"> savininkas</w:t>
      </w:r>
      <w:r>
        <w:rPr>
          <w:rFonts w:cs="Arial"/>
        </w:rPr>
        <w:t>. Taigi toliau vertino</w:t>
      </w:r>
      <w:r w:rsidRPr="00ED0A4B">
        <w:rPr>
          <w:rFonts w:cs="Arial"/>
        </w:rPr>
        <w:t xml:space="preserve"> valdžios institucij</w:t>
      </w:r>
      <w:r>
        <w:rPr>
          <w:rFonts w:cs="Arial"/>
        </w:rPr>
        <w:t>ų pareigos</w:t>
      </w:r>
      <w:r w:rsidRPr="00ED0A4B">
        <w:rPr>
          <w:rFonts w:cs="Arial"/>
        </w:rPr>
        <w:t xml:space="preserve"> imtis </w:t>
      </w:r>
      <w:r>
        <w:rPr>
          <w:rFonts w:cs="Arial"/>
        </w:rPr>
        <w:t xml:space="preserve">atitinkamų </w:t>
      </w:r>
      <w:r w:rsidRPr="00ED0A4B">
        <w:rPr>
          <w:rFonts w:cs="Arial"/>
        </w:rPr>
        <w:t xml:space="preserve">priemonių, skirtų pareiškėjo </w:t>
      </w:r>
      <w:r>
        <w:rPr>
          <w:rFonts w:cs="Arial"/>
        </w:rPr>
        <w:t>namams</w:t>
      </w:r>
      <w:r w:rsidRPr="00ED0A4B">
        <w:rPr>
          <w:rFonts w:cs="Arial"/>
        </w:rPr>
        <w:t xml:space="preserve"> apsaugoti, </w:t>
      </w:r>
      <w:r>
        <w:rPr>
          <w:rFonts w:cs="Arial"/>
        </w:rPr>
        <w:t xml:space="preserve">apimtį </w:t>
      </w:r>
      <w:r w:rsidRPr="00ED0A4B">
        <w:rPr>
          <w:rFonts w:cs="Arial"/>
        </w:rPr>
        <w:t>ir ar jos laikėsi šios pareigos</w:t>
      </w:r>
      <w:r>
        <w:rPr>
          <w:rFonts w:cs="Arial"/>
        </w:rPr>
        <w:t xml:space="preserve">. </w:t>
      </w:r>
      <w:r w:rsidRPr="00936401">
        <w:t xml:space="preserve">Šį klausimą </w:t>
      </w:r>
      <w:r>
        <w:t>Teismas</w:t>
      </w:r>
      <w:r w:rsidRPr="00936401">
        <w:t xml:space="preserve"> nagrinė</w:t>
      </w:r>
      <w:r>
        <w:t>jo</w:t>
      </w:r>
      <w:r w:rsidRPr="00936401">
        <w:t xml:space="preserve"> atsižvelgdama</w:t>
      </w:r>
      <w:r>
        <w:t>s</w:t>
      </w:r>
      <w:r w:rsidRPr="00936401">
        <w:t xml:space="preserve"> į bendrąją normą, esančią </w:t>
      </w:r>
      <w:r w:rsidRPr="00E14E73">
        <w:rPr>
          <w:rFonts w:cs="Arial"/>
        </w:rPr>
        <w:t xml:space="preserve">Konvencijos </w:t>
      </w:r>
      <w:r>
        <w:rPr>
          <w:rFonts w:cs="Arial"/>
        </w:rPr>
        <w:lastRenderedPageBreak/>
        <w:t>P</w:t>
      </w:r>
      <w:r w:rsidRPr="00E14E73">
        <w:rPr>
          <w:rFonts w:cs="Arial"/>
        </w:rPr>
        <w:t xml:space="preserve">rotokolo </w:t>
      </w:r>
      <w:r>
        <w:rPr>
          <w:rFonts w:cs="Arial"/>
        </w:rPr>
        <w:t xml:space="preserve">Nr. </w:t>
      </w:r>
      <w:r w:rsidRPr="00E14E73">
        <w:rPr>
          <w:rFonts w:cs="Arial"/>
        </w:rPr>
        <w:t xml:space="preserve">1 </w:t>
      </w:r>
      <w:r>
        <w:rPr>
          <w:rFonts w:cs="Arial"/>
        </w:rPr>
        <w:t xml:space="preserve">1 </w:t>
      </w:r>
      <w:r w:rsidRPr="00E14E73">
        <w:rPr>
          <w:rFonts w:cs="Arial"/>
        </w:rPr>
        <w:t>straipsnio</w:t>
      </w:r>
      <w:r>
        <w:rPr>
          <w:rFonts w:cs="Arial"/>
        </w:rPr>
        <w:t xml:space="preserve"> </w:t>
      </w:r>
      <w:r w:rsidRPr="00936401">
        <w:t xml:space="preserve">pirmos pastraipos pirmame sakinyje, kuri nustato </w:t>
      </w:r>
      <w:r>
        <w:t>kiekvieno fizinio ar juridinio asmens teisę netrukdomai naudotis savo nuosavybe.</w:t>
      </w:r>
    </w:p>
    <w:p w14:paraId="557C9FDF" w14:textId="77777777" w:rsidR="00246199" w:rsidRDefault="00246199" w:rsidP="00246199">
      <w:pPr>
        <w:spacing w:after="0" w:line="240" w:lineRule="auto"/>
        <w:ind w:firstLine="567"/>
        <w:jc w:val="both"/>
      </w:pPr>
      <w:r>
        <w:t>Remdamasis ankstesne praktika, Teismas pakartojo, kad r</w:t>
      </w:r>
      <w:r w:rsidRPr="008135A4">
        <w:t xml:space="preserve">ealus ir veiksmingas naudojimasis teise, kurią garantuoja </w:t>
      </w:r>
      <w:r>
        <w:t xml:space="preserve">nurodyta Konvencijos </w:t>
      </w:r>
      <w:r w:rsidRPr="008135A4">
        <w:t xml:space="preserve">nuostata, negali priklausyti tik nuo valstybės pareigos susilaikyti nuo bet kokio kišimosi ir gali prireikti </w:t>
      </w:r>
      <w:r>
        <w:t>pozityviųjų</w:t>
      </w:r>
      <w:r w:rsidRPr="008135A4">
        <w:t xml:space="preserve"> apsaugos priemonių.</w:t>
      </w:r>
      <w:r>
        <w:t xml:space="preserve"> Tačiau </w:t>
      </w:r>
      <w:r w:rsidRPr="008B7C93">
        <w:rPr>
          <w:u w:val="single"/>
        </w:rPr>
        <w:t>stichinės nelaimės, kurių žmogus nekontroliuoja, negali primesti tokio masto įsipareigojimų valstybei, kaip, pavyzdžiui, pavojingos veiklos vykdymo srityje</w:t>
      </w:r>
      <w:r>
        <w:t xml:space="preserve"> (šiuo klausimu palyginimui žr. bylą </w:t>
      </w:r>
      <w:r w:rsidRPr="00300979">
        <w:rPr>
          <w:i/>
          <w:iCs/>
        </w:rPr>
        <w:t xml:space="preserve">Öneryıldız </w:t>
      </w:r>
      <w:r>
        <w:rPr>
          <w:i/>
          <w:iCs/>
        </w:rPr>
        <w:t>prieš</w:t>
      </w:r>
      <w:r w:rsidRPr="00300979">
        <w:rPr>
          <w:i/>
          <w:iCs/>
        </w:rPr>
        <w:t xml:space="preserve"> T</w:t>
      </w:r>
      <w:r>
        <w:rPr>
          <w:i/>
          <w:iCs/>
        </w:rPr>
        <w:t>urkiją</w:t>
      </w:r>
      <w:r w:rsidRPr="00300979">
        <w:t xml:space="preserve">, </w:t>
      </w:r>
      <w:r>
        <w:t xml:space="preserve">pareiškimo </w:t>
      </w:r>
      <w:r w:rsidRPr="00300979">
        <w:t>Nr. 48939/99).</w:t>
      </w:r>
      <w:r>
        <w:t xml:space="preserve"> Teismas pažymėjo, kad </w:t>
      </w:r>
      <w:r w:rsidRPr="008B7C93">
        <w:rPr>
          <w:u w:val="single"/>
        </w:rPr>
        <w:t>stichinės nelaimės yra įvykiai, kurių valstybės nekontroliuoja ir kurių prevenciją galima užtikrinti tik įgyvendinant priemones, kuriomis siekiama kuo labiau sumažinti jų neigiamą poveikį. Prevencijos pareigos apimtį iš esmės sudaro veiksmingos teisinės ir reguliavimo sistemos sukūrimas ir priemonių, stiprinančių valstybės gebėjimą kovoti su tokio pobūdžio žalingais ir netikėtais gamtos reiškiniais, priėmimas. Prevencija apima, be kita ko, teritorijų planavimą ir urbanizacijos kontrolę, o šiuo atžvilgiu nacionalinės valdžios institucijos yra geriausiai pasirengusios, viena vertus, įvertinti stichinių nelaimių, kurios gali kilti regione, riziką ir, kita vertus, nustatyti atitinkamas savivaldybes ir jose gyvenančius gyventojus, kuriems kyla ši rizika</w:t>
      </w:r>
      <w:r>
        <w:t xml:space="preserve">. </w:t>
      </w:r>
      <w:r w:rsidRPr="00EA46EF">
        <w:t>Ši</w:t>
      </w:r>
      <w:r>
        <w:t xml:space="preserve">ame kontekste </w:t>
      </w:r>
      <w:r w:rsidRPr="00EA46EF">
        <w:t>Teismas pa</w:t>
      </w:r>
      <w:r>
        <w:t>žymėjo</w:t>
      </w:r>
      <w:r w:rsidRPr="00EA46EF">
        <w:t xml:space="preserve">, kad </w:t>
      </w:r>
      <w:r w:rsidRPr="00227A10">
        <w:rPr>
          <w:u w:val="single"/>
        </w:rPr>
        <w:t xml:space="preserve">pareiškėjo namas buvo apgadintas ne dėl žmogaus veiklos, o dėl nuošliaužos, t. y. natūralios kilmės reiškinio. Todėl šis atvejis </w:t>
      </w:r>
      <w:r w:rsidRPr="00227A10">
        <w:rPr>
          <w:b/>
          <w:bCs/>
          <w:u w:val="single"/>
        </w:rPr>
        <w:t>turi būti atskirtas</w:t>
      </w:r>
      <w:r w:rsidRPr="00227A10">
        <w:rPr>
          <w:u w:val="single"/>
        </w:rPr>
        <w:t xml:space="preserve">, </w:t>
      </w:r>
      <w:r w:rsidRPr="00227A10">
        <w:t>pavyzdžiui, nuo atvejo, susijusio su staigiu ir smarkiu potvyniu, sukeltu didžiulio vandens išleidimo iš administracijos kontroliuojamo rezervuaro upėje</w:t>
      </w:r>
      <w:r>
        <w:t xml:space="preserve"> (pvz., byla </w:t>
      </w:r>
      <w:r w:rsidRPr="001331F7">
        <w:rPr>
          <w:i/>
          <w:iCs/>
        </w:rPr>
        <w:t>Kolyadenko ir kiti prieš Rusiją</w:t>
      </w:r>
      <w:r w:rsidRPr="001331F7">
        <w:t xml:space="preserve">, </w:t>
      </w:r>
      <w:r>
        <w:t xml:space="preserve">pareiškimo </w:t>
      </w:r>
      <w:r w:rsidRPr="001331F7">
        <w:t>Nr. 17423/05</w:t>
      </w:r>
      <w:r>
        <w:t>)</w:t>
      </w:r>
      <w:r w:rsidRPr="00EA46EF">
        <w:t xml:space="preserve">, taip pat </w:t>
      </w:r>
      <w:r>
        <w:t xml:space="preserve">atvejo, kai </w:t>
      </w:r>
      <w:r w:rsidRPr="00EA46EF">
        <w:t>žmonės žuvo ir turtas buvo sunaikintas dėl metano sprogimo valdžios pastatytame ir prižiūrimame sąvartyne</w:t>
      </w:r>
      <w:r>
        <w:t xml:space="preserve"> (pvz., </w:t>
      </w:r>
      <w:r w:rsidRPr="00300979">
        <w:rPr>
          <w:i/>
          <w:iCs/>
        </w:rPr>
        <w:t xml:space="preserve">Öneryıldız </w:t>
      </w:r>
      <w:r>
        <w:t>byla)</w:t>
      </w:r>
      <w:r w:rsidRPr="00EA46EF">
        <w:t>.</w:t>
      </w:r>
    </w:p>
    <w:p w14:paraId="290E1E42" w14:textId="77777777" w:rsidR="00246199" w:rsidRDefault="00246199" w:rsidP="00246199">
      <w:pPr>
        <w:spacing w:after="0" w:line="240" w:lineRule="auto"/>
        <w:ind w:firstLine="567"/>
        <w:jc w:val="both"/>
      </w:pPr>
      <w:r>
        <w:t xml:space="preserve">Teismas atkreipė dėmesį, kad </w:t>
      </w:r>
      <w:r w:rsidRPr="00435796">
        <w:t xml:space="preserve">pareiškėjas įsigijo žemę, kurioje pasistatė namą, gavęs reikiamus leidimus. </w:t>
      </w:r>
      <w:r>
        <w:t xml:space="preserve">Šiuo aspektu </w:t>
      </w:r>
      <w:r w:rsidRPr="00435796">
        <w:t>Teism</w:t>
      </w:r>
      <w:r>
        <w:t>as nurodė</w:t>
      </w:r>
      <w:r w:rsidRPr="00435796">
        <w:t xml:space="preserve">, </w:t>
      </w:r>
      <w:r>
        <w:t xml:space="preserve">kad </w:t>
      </w:r>
      <w:r w:rsidRPr="00435796">
        <w:t xml:space="preserve">jis neturi nuspręsti, ar ginčo žemėje buvo galima statyti, ir kad šį sprendimą turi priimti nacionalinės valdžios institucijos, </w:t>
      </w:r>
      <w:r>
        <w:t>atsakingos už teritorijų</w:t>
      </w:r>
      <w:r w:rsidRPr="00435796">
        <w:t xml:space="preserve"> planavim</w:t>
      </w:r>
      <w:r>
        <w:t>ą</w:t>
      </w:r>
      <w:r w:rsidRPr="00435796">
        <w:t xml:space="preserve">. </w:t>
      </w:r>
      <w:r>
        <w:t>D</w:t>
      </w:r>
      <w:r w:rsidRPr="00435796">
        <w:t xml:space="preserve">iskrecijos, susijusios su daugybe vietos veiksnių, naudojimas yra neatsiejamas nuo </w:t>
      </w:r>
      <w:r>
        <w:t xml:space="preserve">teritorijų </w:t>
      </w:r>
      <w:r w:rsidRPr="00435796">
        <w:t xml:space="preserve">planavimo politikos ir būtinų priemonių pasirinkimo </w:t>
      </w:r>
      <w:r>
        <w:t>be</w:t>
      </w:r>
      <w:r w:rsidRPr="00435796">
        <w:t>i taikymo.</w:t>
      </w:r>
      <w:r>
        <w:t xml:space="preserve"> Šiuo aspektu Teismas pabrėžė, kad </w:t>
      </w:r>
      <w:r w:rsidRPr="006E15E8">
        <w:t>prieš statybas buvo atliktas grunto tyrimas</w:t>
      </w:r>
      <w:r>
        <w:t>, o u</w:t>
      </w:r>
      <w:r w:rsidRPr="006E15E8">
        <w:t xml:space="preserve">ž tyrimą atsakingas </w:t>
      </w:r>
      <w:r>
        <w:t>specialistas</w:t>
      </w:r>
      <w:r w:rsidRPr="006E15E8">
        <w:t xml:space="preserve"> savo ataskaitoje aiškiai nurodė ginčo žemės grunto ypatybes ir pateikė technines rekomendacijas dėl pastato statybos. T</w:t>
      </w:r>
      <w:r>
        <w:t>aigi,</w:t>
      </w:r>
      <w:r w:rsidRPr="006E15E8">
        <w:t xml:space="preserve"> pareiškėjas žinojo, kur bus jo namas, ir </w:t>
      </w:r>
      <w:r>
        <w:t xml:space="preserve">jį </w:t>
      </w:r>
      <w:r w:rsidRPr="006E15E8">
        <w:t xml:space="preserve">statė žinodamas </w:t>
      </w:r>
      <w:r>
        <w:t xml:space="preserve">visus reikšmingus </w:t>
      </w:r>
      <w:r w:rsidRPr="006E15E8">
        <w:t>faktus</w:t>
      </w:r>
      <w:r>
        <w:t xml:space="preserve">, todėl </w:t>
      </w:r>
      <w:r w:rsidRPr="002B64F9">
        <w:t>privalėjo būti pakankamai atidus</w:t>
      </w:r>
      <w:r>
        <w:t xml:space="preserve"> ir rūpestingas</w:t>
      </w:r>
      <w:r w:rsidRPr="006E15E8">
        <w:t>.</w:t>
      </w:r>
    </w:p>
    <w:p w14:paraId="1DAB8133" w14:textId="7FEE8322" w:rsidR="00246199" w:rsidRDefault="00246199" w:rsidP="00246199">
      <w:pPr>
        <w:spacing w:after="0" w:line="240" w:lineRule="auto"/>
        <w:ind w:firstLine="567"/>
        <w:jc w:val="both"/>
      </w:pPr>
      <w:r>
        <w:t xml:space="preserve">Šiuo atveju </w:t>
      </w:r>
      <w:r w:rsidRPr="00C1679B">
        <w:t xml:space="preserve">buvo nustatyta, kad </w:t>
      </w:r>
      <w:r>
        <w:t xml:space="preserve">dėl </w:t>
      </w:r>
      <w:r w:rsidRPr="00C1679B">
        <w:t xml:space="preserve">nuošliaužos nukentėjo tik pareiškėjo namas, o institucijų atlikti ekspertiniai vertinimai nustatė, </w:t>
      </w:r>
      <w:r>
        <w:t>jog</w:t>
      </w:r>
      <w:r w:rsidRPr="00C1679B">
        <w:t xml:space="preserve"> minėtas namas buvo pastatytas nesilaikant įstatymo reikalavimų</w:t>
      </w:r>
      <w:r>
        <w:t>,</w:t>
      </w:r>
      <w:r w:rsidRPr="00C1679B">
        <w:t xml:space="preserve"> </w:t>
      </w:r>
      <w:r>
        <w:t>ir pareiškėjas</w:t>
      </w:r>
      <w:r w:rsidRPr="00C1679B">
        <w:t xml:space="preserve"> turėjo imtis atitinkamų </w:t>
      </w:r>
      <w:r>
        <w:t xml:space="preserve">būtinų </w:t>
      </w:r>
      <w:r w:rsidRPr="00C1679B">
        <w:t>priemonių, kad galėtų toliau ten gyventi: visų pirma</w:t>
      </w:r>
      <w:r>
        <w:t>,</w:t>
      </w:r>
      <w:r w:rsidRPr="00C1679B">
        <w:t xml:space="preserve"> savo valdoje pastatyti atramines sienas ir užtikrinti grunto nusausinimą. Teismas ne</w:t>
      </w:r>
      <w:r>
        <w:t>nustatė pagrindo</w:t>
      </w:r>
      <w:r w:rsidRPr="00C1679B">
        <w:t xml:space="preserve"> suabejoti valdžios institucijų nustatytomis faktinėmis aplinkybėmis</w:t>
      </w:r>
      <w:r>
        <w:t xml:space="preserve"> ir pažymėjo, kad</w:t>
      </w:r>
      <w:r w:rsidRPr="003B5AE0">
        <w:t xml:space="preserve"> nepaisant daugybės savivaldybės įspėjimų</w:t>
      </w:r>
      <w:r>
        <w:t xml:space="preserve"> pareiškėjas</w:t>
      </w:r>
      <w:r w:rsidRPr="003B5AE0">
        <w:t>, kuri</w:t>
      </w:r>
      <w:r>
        <w:t>s</w:t>
      </w:r>
      <w:r w:rsidRPr="003B5AE0">
        <w:t xml:space="preserve"> pagal bylos duomenis nebuvo sudar</w:t>
      </w:r>
      <w:r>
        <w:t>ę</w:t>
      </w:r>
      <w:r w:rsidRPr="003B5AE0">
        <w:t>s draudimo poliso su statyba susijusiai rizikai padengti, neatliko rekomenduojamų darbų</w:t>
      </w:r>
      <w:r>
        <w:t xml:space="preserve">, o </w:t>
      </w:r>
      <w:r w:rsidRPr="003B5AE0">
        <w:t xml:space="preserve">taip žala </w:t>
      </w:r>
      <w:r>
        <w:t xml:space="preserve">dar </w:t>
      </w:r>
      <w:r w:rsidRPr="003B5AE0">
        <w:t>pa</w:t>
      </w:r>
      <w:r>
        <w:t>did</w:t>
      </w:r>
      <w:r w:rsidRPr="003B5AE0">
        <w:t xml:space="preserve">ėjo. </w:t>
      </w:r>
      <w:r>
        <w:t>Pareiškėjas</w:t>
      </w:r>
      <w:r w:rsidRPr="003B5AE0">
        <w:t xml:space="preserve"> negalėjo ignoruoti nei tokio neveikimo pavojaus, nei </w:t>
      </w:r>
      <w:r>
        <w:t>neigiamų</w:t>
      </w:r>
      <w:r w:rsidRPr="003B5AE0">
        <w:t xml:space="preserve"> pasekmių, kurias dėl šio</w:t>
      </w:r>
      <w:r>
        <w:t xml:space="preserve"> pavojaus</w:t>
      </w:r>
      <w:r w:rsidRPr="003B5AE0">
        <w:t xml:space="preserve"> jis gali patirti</w:t>
      </w:r>
      <w:r>
        <w:t>, todėl laikytina</w:t>
      </w:r>
      <w:r w:rsidRPr="003B5AE0">
        <w:t xml:space="preserve">, kad jis sąmoningai prisiėmė šią riziką. Šiuo atžvilgiu </w:t>
      </w:r>
      <w:r>
        <w:t>Teismas atkreipė dėmesį į bendrąjį principą</w:t>
      </w:r>
      <w:r w:rsidRPr="003B5AE0">
        <w:t xml:space="preserve"> </w:t>
      </w:r>
      <w:r w:rsidRPr="008B26A5">
        <w:rPr>
          <w:i/>
          <w:iCs/>
        </w:rPr>
        <w:t>nemo auditur propriam turpitudinem allegans</w:t>
      </w:r>
      <w:r>
        <w:t>, pagal kurį n</w:t>
      </w:r>
      <w:r w:rsidRPr="003B5AE0">
        <w:t xml:space="preserve">iekas negali </w:t>
      </w:r>
      <w:r w:rsidR="00227A10">
        <w:t>remtis savo kalte savo naudai</w:t>
      </w:r>
      <w:r w:rsidRPr="003B5AE0">
        <w:t>.</w:t>
      </w:r>
      <w:r>
        <w:t xml:space="preserve"> Be to, Teismas nurodė, kad n</w:t>
      </w:r>
      <w:r w:rsidRPr="00E73AD6">
        <w:t xml:space="preserve">uošliaužos padarytos žalos dydis nesutrukdė </w:t>
      </w:r>
      <w:r>
        <w:t xml:space="preserve">pareiškėjui </w:t>
      </w:r>
      <w:r w:rsidRPr="00E73AD6">
        <w:t>toliau ten gyventi</w:t>
      </w:r>
      <w:r>
        <w:t>,</w:t>
      </w:r>
      <w:r w:rsidRPr="00E73AD6">
        <w:t xml:space="preserve"> </w:t>
      </w:r>
      <w:r>
        <w:t>k</w:t>
      </w:r>
      <w:r w:rsidRPr="00E73AD6">
        <w:t>itaip tariant, jis ir toliau naudojosi savo turtu.</w:t>
      </w:r>
    </w:p>
    <w:p w14:paraId="57885658" w14:textId="77777777" w:rsidR="00246199" w:rsidRDefault="00246199" w:rsidP="00246199">
      <w:pPr>
        <w:spacing w:after="0" w:line="240" w:lineRule="auto"/>
        <w:ind w:firstLine="567"/>
        <w:jc w:val="both"/>
      </w:pPr>
      <w:r>
        <w:t xml:space="preserve">Teismas pažymėjo, kad </w:t>
      </w:r>
      <w:r w:rsidRPr="00D47828">
        <w:t xml:space="preserve">jis neturi teisės pakeisti vietos valdžios institucijų požiūrio dėl geriausios politikos </w:t>
      </w:r>
      <w:r>
        <w:t>teritorijų</w:t>
      </w:r>
      <w:r w:rsidRPr="00D47828">
        <w:t xml:space="preserve"> planavimo ir regioninės plėtros klausimais</w:t>
      </w:r>
      <w:r>
        <w:t xml:space="preserve"> </w:t>
      </w:r>
      <w:r w:rsidRPr="00D47828">
        <w:t>sav</w:t>
      </w:r>
      <w:r>
        <w:t>uoju. N</w:t>
      </w:r>
      <w:r w:rsidRPr="00D47828">
        <w:t>acionalinės valdžios institucijos turi nuspręsti dėl priemonių, kurių reikia imtis siekiant užkirsti kelią stichinei grėsmei, ir dėl pagalbos, kuri turi būti teikiama nelaimės aukoms, nes tokios priemonės iš esmės patenka į valstybė</w:t>
      </w:r>
      <w:r>
        <w:t>s diskreciją</w:t>
      </w:r>
      <w:r w:rsidRPr="00D47828">
        <w:t xml:space="preserve">. </w:t>
      </w:r>
      <w:r>
        <w:t xml:space="preserve">Pareiškėjui buvo </w:t>
      </w:r>
      <w:r w:rsidRPr="00F11395">
        <w:t xml:space="preserve">suteikta pagalba ir </w:t>
      </w:r>
      <w:r>
        <w:t>jis</w:t>
      </w:r>
      <w:r w:rsidRPr="00F11395">
        <w:t xml:space="preserve"> gavo trijų mėnesių nuomos dydžio kompensaciją</w:t>
      </w:r>
      <w:r>
        <w:t>, tačiau</w:t>
      </w:r>
      <w:r w:rsidRPr="00F11395">
        <w:t xml:space="preserve"> ši pagalba nebuvo atnaujinta, nes valdžios institucijos suprato, </w:t>
      </w:r>
      <w:r>
        <w:t>jog</w:t>
      </w:r>
      <w:r w:rsidRPr="00F11395">
        <w:t xml:space="preserve"> pareiškėjas ir toliau gyvena savo name.</w:t>
      </w:r>
    </w:p>
    <w:p w14:paraId="24655F7D" w14:textId="77777777" w:rsidR="00246199" w:rsidRDefault="00246199" w:rsidP="00246199">
      <w:pPr>
        <w:spacing w:after="0" w:line="240" w:lineRule="auto"/>
        <w:ind w:firstLine="567"/>
        <w:jc w:val="both"/>
      </w:pPr>
      <w:r>
        <w:t xml:space="preserve">Teisingumo Teismas nenustatė pagrindo suabejoti nacionalinių teismų vertinimu, kurie, remdamiesi ekspertų ataskaitų išvadomis, nusprendė, kad šiuo atveju žalos atlyginimo sąlygos nebuvo įvykdytos. Šiomis aplinkybėmis Teismas konstatavo, kad Konvencijos Protokolo Nr. 1 1 straipsnio pažeidimo nebuvo, todėl pareiškimas yra </w:t>
      </w:r>
      <w:r>
        <w:rPr>
          <w:rFonts w:cstheme="minorHAnsi"/>
        </w:rPr>
        <w:t>nepriimtinas, kaip akivaizdžiai nepagrįstas</w:t>
      </w:r>
      <w:r>
        <w:t>.</w:t>
      </w:r>
    </w:p>
    <w:p w14:paraId="600CF901" w14:textId="77777777" w:rsidR="00246199" w:rsidRPr="000C65AA" w:rsidRDefault="00246199" w:rsidP="00246199">
      <w:pPr>
        <w:spacing w:after="0" w:line="240" w:lineRule="auto"/>
        <w:ind w:firstLine="567"/>
        <w:jc w:val="both"/>
        <w:rPr>
          <w:rStyle w:val="tlid-translation"/>
        </w:rPr>
      </w:pPr>
    </w:p>
    <w:p w14:paraId="6CB976D9" w14:textId="75C9A33D" w:rsidR="00246199" w:rsidRPr="008B3BC5" w:rsidRDefault="00246199" w:rsidP="00246199">
      <w:pPr>
        <w:spacing w:after="0" w:line="240" w:lineRule="auto"/>
        <w:ind w:firstLine="567"/>
        <w:jc w:val="both"/>
        <w:rPr>
          <w:rFonts w:cstheme="minorHAnsi"/>
        </w:rPr>
      </w:pPr>
      <w:r w:rsidRPr="000C65AA">
        <w:rPr>
          <w:rFonts w:cstheme="minorHAnsi"/>
        </w:rPr>
        <w:t xml:space="preserve">Išvada: </w:t>
      </w:r>
      <w:r>
        <w:rPr>
          <w:rFonts w:cstheme="minorHAnsi"/>
        </w:rPr>
        <w:t xml:space="preserve">pareiškimas </w:t>
      </w:r>
      <w:r w:rsidRPr="008B3BC5">
        <w:rPr>
          <w:rFonts w:cstheme="minorHAnsi"/>
        </w:rPr>
        <w:t>nepriimtinas</w:t>
      </w:r>
      <w:r w:rsidR="008B3BC5">
        <w:rPr>
          <w:rFonts w:cstheme="minorHAnsi"/>
        </w:rPr>
        <w:t xml:space="preserve"> (vienbalsiai). </w:t>
      </w:r>
    </w:p>
    <w:p w14:paraId="22115AB8" w14:textId="77777777" w:rsidR="00246199" w:rsidRPr="008B3BC5" w:rsidRDefault="00246199" w:rsidP="00246199">
      <w:pPr>
        <w:spacing w:after="0" w:line="240" w:lineRule="auto"/>
        <w:ind w:firstLine="567"/>
        <w:rPr>
          <w:rStyle w:val="Hipersaitas"/>
          <w:rFonts w:cs="Arial"/>
          <w:u w:val="none"/>
        </w:rPr>
      </w:pPr>
      <w:hyperlink r:id="rId24" w:history="1">
        <w:r w:rsidRPr="000C65AA">
          <w:rPr>
            <w:rStyle w:val="Hipersaitas"/>
            <w:rFonts w:cs="Arial"/>
          </w:rPr>
          <w:t>Prieiga internete</w:t>
        </w:r>
      </w:hyperlink>
      <w:r w:rsidRPr="008B3BC5">
        <w:rPr>
          <w:rStyle w:val="Hipersaitas"/>
          <w:rFonts w:cs="Arial"/>
          <w:u w:val="none"/>
        </w:rPr>
        <w:t xml:space="preserve"> (prancūzų k.)</w:t>
      </w:r>
    </w:p>
    <w:p w14:paraId="1B5134B4" w14:textId="77777777" w:rsidR="00246199" w:rsidRDefault="00246199" w:rsidP="00837CD5">
      <w:pPr>
        <w:spacing w:after="0" w:line="240" w:lineRule="auto"/>
        <w:ind w:right="-1"/>
        <w:jc w:val="center"/>
        <w:rPr>
          <w:rFonts w:cstheme="minorHAnsi"/>
          <w:b/>
        </w:rPr>
      </w:pPr>
    </w:p>
    <w:p w14:paraId="06F55F36" w14:textId="77777777" w:rsidR="00FB42A8" w:rsidRPr="004A6822" w:rsidRDefault="00FB42A8" w:rsidP="00FB42A8">
      <w:pPr>
        <w:spacing w:after="0" w:line="240" w:lineRule="auto"/>
        <w:ind w:firstLine="567"/>
        <w:jc w:val="center"/>
        <w:rPr>
          <w:rFonts w:cstheme="minorHAnsi"/>
          <w:b/>
        </w:rPr>
      </w:pPr>
      <w:r w:rsidRPr="004A6822">
        <w:rPr>
          <w:rFonts w:cstheme="minorHAnsi"/>
          <w:b/>
        </w:rPr>
        <w:lastRenderedPageBreak/>
        <w:t xml:space="preserve">Europos Žmogaus Teisių Teismo 2024 m. sausio 30 d. sprendimas byloje </w:t>
      </w:r>
    </w:p>
    <w:p w14:paraId="0E524182" w14:textId="77777777" w:rsidR="00FB42A8" w:rsidRPr="00FB42A8" w:rsidRDefault="00FB42A8" w:rsidP="00FB42A8">
      <w:pPr>
        <w:keepNext/>
        <w:keepLines/>
        <w:spacing w:after="0" w:line="240" w:lineRule="auto"/>
        <w:jc w:val="center"/>
        <w:outlineLvl w:val="1"/>
        <w:rPr>
          <w:rFonts w:ascii="Calibri" w:eastAsia="Times New Roman" w:hAnsi="Calibri" w:cs="Times New Roman"/>
          <w:b/>
          <w:bCs/>
          <w:i/>
          <w:iCs/>
          <w:color w:val="2E74B5"/>
        </w:rPr>
      </w:pPr>
      <w:bookmarkStart w:id="48" w:name="_Toc181709516"/>
      <w:r w:rsidRPr="00FB42A8">
        <w:rPr>
          <w:rFonts w:ascii="Calibri" w:eastAsia="Times New Roman" w:hAnsi="Calibri" w:cs="Times New Roman"/>
          <w:b/>
          <w:bCs/>
          <w:i/>
          <w:iCs/>
          <w:color w:val="2E74B5"/>
        </w:rPr>
        <w:t>Bernotas prieš Lietuvą</w:t>
      </w:r>
      <w:bookmarkEnd w:id="48"/>
    </w:p>
    <w:p w14:paraId="35CE1816" w14:textId="4F63E0C1" w:rsidR="00FB42A8" w:rsidRPr="00FB42A8" w:rsidRDefault="00FB42A8" w:rsidP="00FB42A8">
      <w:pPr>
        <w:spacing w:after="0" w:line="240" w:lineRule="auto"/>
        <w:ind w:firstLine="567"/>
        <w:jc w:val="center"/>
        <w:rPr>
          <w:rStyle w:val="sfbbfee58"/>
          <w:rFonts w:cstheme="minorHAnsi"/>
          <w:b/>
        </w:rPr>
      </w:pPr>
      <w:r w:rsidRPr="004A6822">
        <w:rPr>
          <w:rFonts w:cstheme="minorHAnsi"/>
          <w:b/>
        </w:rPr>
        <w:t xml:space="preserve">(pareiškimo Nr. </w:t>
      </w:r>
      <w:r w:rsidRPr="004A6822">
        <w:rPr>
          <w:rFonts w:cstheme="minorHAnsi"/>
          <w:b/>
          <w:iCs/>
        </w:rPr>
        <w:t xml:space="preserve">59065/21, svarbos lygis – </w:t>
      </w:r>
      <w:r>
        <w:rPr>
          <w:rFonts w:cstheme="minorHAnsi"/>
          <w:b/>
          <w:iCs/>
        </w:rPr>
        <w:t>2</w:t>
      </w:r>
      <w:r w:rsidRPr="004A6822">
        <w:rPr>
          <w:rFonts w:cstheme="minorHAnsi"/>
          <w:b/>
        </w:rPr>
        <w:t>)</w:t>
      </w:r>
    </w:p>
    <w:p w14:paraId="60919A5A" w14:textId="77777777" w:rsidR="00FB42A8" w:rsidRDefault="00FB42A8" w:rsidP="00FB42A8">
      <w:pPr>
        <w:spacing w:after="0" w:line="240" w:lineRule="auto"/>
        <w:ind w:firstLine="567"/>
        <w:jc w:val="both"/>
        <w:rPr>
          <w:rFonts w:cstheme="minorHAnsi"/>
          <w:i/>
          <w:iCs/>
        </w:rPr>
      </w:pPr>
    </w:p>
    <w:p w14:paraId="3E7EE001" w14:textId="45B2346A" w:rsidR="00FB42A8" w:rsidRPr="00FB42A8" w:rsidRDefault="00FB42A8" w:rsidP="00FB42A8">
      <w:pPr>
        <w:pStyle w:val="Antrat3"/>
        <w:spacing w:before="0" w:line="240" w:lineRule="auto"/>
        <w:ind w:right="-1" w:firstLine="567"/>
        <w:rPr>
          <w:rFonts w:ascii="Calibri" w:eastAsia="Times New Roman" w:hAnsi="Calibri" w:cs="Times New Roman"/>
        </w:rPr>
      </w:pPr>
      <w:bookmarkStart w:id="49" w:name="_Toc181709517"/>
      <w:r w:rsidRPr="00FB42A8">
        <w:rPr>
          <w:rFonts w:ascii="Calibri" w:eastAsia="Times New Roman" w:hAnsi="Calibri" w:cs="Times New Roman"/>
        </w:rPr>
        <w:t>Dėl pareigos kompensuoti socialinio draudimo įstaigai netekto darbingumo pensiją, išmokėtą asmeniui, kurį pareiškėjas netyčia sužalojo</w:t>
      </w:r>
      <w:bookmarkEnd w:id="49"/>
    </w:p>
    <w:p w14:paraId="2464624D" w14:textId="77777777" w:rsidR="00FB42A8" w:rsidRPr="004A5CF1" w:rsidRDefault="00FB42A8" w:rsidP="00FB42A8">
      <w:pPr>
        <w:spacing w:after="0" w:line="240" w:lineRule="auto"/>
        <w:ind w:firstLine="567"/>
        <w:rPr>
          <w:rFonts w:cstheme="minorHAnsi"/>
          <w:highlight w:val="yellow"/>
        </w:rPr>
      </w:pPr>
    </w:p>
    <w:p w14:paraId="3A1BF8F1" w14:textId="77777777" w:rsidR="00FB42A8" w:rsidRPr="00BC5BE2" w:rsidRDefault="00FB42A8" w:rsidP="00FB42A8">
      <w:pPr>
        <w:spacing w:after="0" w:line="240" w:lineRule="auto"/>
        <w:jc w:val="center"/>
        <w:rPr>
          <w:rFonts w:cstheme="minorHAnsi"/>
          <w:b/>
        </w:rPr>
      </w:pPr>
      <w:r w:rsidRPr="00BC5BE2">
        <w:rPr>
          <w:rFonts w:cstheme="minorHAnsi"/>
          <w:b/>
        </w:rPr>
        <w:t>Faktinės aplinkybės</w:t>
      </w:r>
    </w:p>
    <w:p w14:paraId="5E2A0EA4" w14:textId="77777777" w:rsidR="00FB42A8" w:rsidRPr="004A5CF1" w:rsidRDefault="00FB42A8" w:rsidP="00FB42A8">
      <w:pPr>
        <w:spacing w:after="0" w:line="240" w:lineRule="auto"/>
        <w:ind w:firstLine="567"/>
        <w:rPr>
          <w:rFonts w:cstheme="minorHAnsi"/>
          <w:b/>
          <w:highlight w:val="yellow"/>
        </w:rPr>
      </w:pPr>
    </w:p>
    <w:p w14:paraId="0E80824C" w14:textId="7C29BCD0" w:rsidR="00FB42A8" w:rsidRDefault="00FB42A8" w:rsidP="00FB42A8">
      <w:pPr>
        <w:spacing w:after="0" w:line="240" w:lineRule="auto"/>
        <w:ind w:firstLine="567"/>
        <w:jc w:val="both"/>
        <w:rPr>
          <w:rFonts w:cstheme="minorHAnsi"/>
          <w:bCs/>
        </w:rPr>
      </w:pPr>
      <w:r>
        <w:rPr>
          <w:rFonts w:cstheme="minorHAnsi"/>
          <w:bCs/>
        </w:rPr>
        <w:t xml:space="preserve">Pareiškėjas 2010 m. sausio mėnesį, valydamas šautuvą po medžioklės, netyčia pašovė Ž. K, kuris patyrė rimtus sužeidimus. Pareiškėjas buvo pripažintas kaltu baudžiamojoje byloje dėl sunkaus sveikatos sutrikdymo, priteisiant turtinės ir neturtinės žalos atlyginimą nukentėjusiajam. Pareiškėjas kaltę pripažino ir iš dalies atlygino žalą. Dėl neturtinės žalos atlyginimo dydžio buvo paduotas apeliacinis skundas ir apeliacinės instancijos teismas priteistą sumą sumažino iki </w:t>
      </w:r>
      <w:r w:rsidRPr="000335F5">
        <w:rPr>
          <w:rFonts w:cstheme="minorHAnsi"/>
          <w:bCs/>
        </w:rPr>
        <w:t>37</w:t>
      </w:r>
      <w:r>
        <w:rPr>
          <w:rFonts w:cstheme="minorHAnsi"/>
          <w:bCs/>
        </w:rPr>
        <w:t xml:space="preserve"> </w:t>
      </w:r>
      <w:r w:rsidRPr="000335F5">
        <w:rPr>
          <w:rFonts w:cstheme="minorHAnsi"/>
          <w:bCs/>
        </w:rPr>
        <w:t>032</w:t>
      </w:r>
      <w:r>
        <w:rPr>
          <w:rFonts w:cstheme="minorHAnsi"/>
          <w:bCs/>
        </w:rPr>
        <w:t xml:space="preserve"> litų.</w:t>
      </w:r>
    </w:p>
    <w:p w14:paraId="7313537B" w14:textId="77777777" w:rsidR="00FB42A8" w:rsidRDefault="00FB42A8" w:rsidP="00FB42A8">
      <w:pPr>
        <w:spacing w:after="0" w:line="240" w:lineRule="auto"/>
        <w:ind w:firstLine="567"/>
        <w:jc w:val="both"/>
        <w:rPr>
          <w:rStyle w:val="sbb9ee52a"/>
        </w:rPr>
      </w:pPr>
      <w:r>
        <w:rPr>
          <w:rFonts w:cstheme="minorHAnsi"/>
          <w:bCs/>
        </w:rPr>
        <w:t>2010 m. rugpjūtį Neįgalumo ir darbingumo nustatymo tarnyba prie Socialinės apsaugos ir darbo ministerijos nustatė, kad dėl patirtų sužalojimų Ž. K. darbingumo lygis sumažėjo 60 proc. Tą patį mėnesį iš V</w:t>
      </w:r>
      <w:r w:rsidRPr="00DA5B98">
        <w:rPr>
          <w:rFonts w:cstheme="minorHAnsi"/>
          <w:bCs/>
        </w:rPr>
        <w:t xml:space="preserve">alstybinio socialinio draudimo fondo </w:t>
      </w:r>
      <w:r>
        <w:rPr>
          <w:rFonts w:cstheme="minorHAnsi"/>
          <w:bCs/>
        </w:rPr>
        <w:t>pareiškėjui paskirta netekto darbingumo pensija.</w:t>
      </w:r>
      <w:r>
        <w:rPr>
          <w:rStyle w:val="sbb9ee52a"/>
        </w:rPr>
        <w:t xml:space="preserve"> Vėliau kelis kartus darbingumo lygis buvo peržiūrimas, kol galiausiai nustatytas 45 proc. netekto darbingumo lygis iki Ž. K. pensinio amžiaus 2039 m.</w:t>
      </w:r>
    </w:p>
    <w:p w14:paraId="47768687" w14:textId="77777777" w:rsidR="00FB42A8" w:rsidRPr="006D5AAF" w:rsidRDefault="00FB42A8" w:rsidP="00FB42A8">
      <w:pPr>
        <w:spacing w:after="0" w:line="240" w:lineRule="auto"/>
        <w:ind w:firstLine="567"/>
        <w:jc w:val="both"/>
        <w:rPr>
          <w:rStyle w:val="sbb9ee52a"/>
        </w:rPr>
      </w:pPr>
      <w:r>
        <w:rPr>
          <w:rStyle w:val="sbb9ee52a"/>
        </w:rPr>
        <w:t xml:space="preserve">Nuo 2011 m. socialinės draudimo įstaigos kelis kartus kreipėsi į teismus, prašydamos kompensuoti Ž. K. išmokėtas netekto darbingumo pensijos sumas, tokį atlyginimą priteisiant iš pareiškėjo, remiantis Lietuvos </w:t>
      </w:r>
      <w:r w:rsidRPr="006D5AAF">
        <w:rPr>
          <w:rStyle w:val="sbb9ee52a"/>
        </w:rPr>
        <w:t>Respublikos civilinio kodekso 6.290 straipsnio 3 dalimi</w:t>
      </w:r>
      <w:r>
        <w:rPr>
          <w:rStyle w:val="sbb9ee52a"/>
        </w:rPr>
        <w:t>. Teismai minėtus prašymus tenkino.</w:t>
      </w:r>
    </w:p>
    <w:p w14:paraId="2913B1CD" w14:textId="77777777" w:rsidR="00FB42A8" w:rsidRDefault="00FB42A8" w:rsidP="00FB42A8">
      <w:pPr>
        <w:spacing w:after="0" w:line="240" w:lineRule="auto"/>
        <w:ind w:firstLine="567"/>
        <w:jc w:val="both"/>
        <w:rPr>
          <w:rFonts w:cstheme="minorHAnsi"/>
          <w:bCs/>
        </w:rPr>
      </w:pPr>
      <w:r w:rsidRPr="006D5AAF">
        <w:rPr>
          <w:rFonts w:cstheme="minorHAnsi"/>
          <w:bCs/>
        </w:rPr>
        <w:t xml:space="preserve">Pareiškėjas, </w:t>
      </w:r>
      <w:r>
        <w:rPr>
          <w:rFonts w:cstheme="minorHAnsi"/>
          <w:bCs/>
        </w:rPr>
        <w:t>remdamasis</w:t>
      </w:r>
      <w:r w:rsidRPr="006D5AAF">
        <w:rPr>
          <w:rFonts w:cstheme="minorHAnsi"/>
          <w:bCs/>
        </w:rPr>
        <w:t xml:space="preserve"> Konvencijos Protokolo Nr. 1 1 straipsniu</w:t>
      </w:r>
      <w:r>
        <w:rPr>
          <w:rFonts w:cstheme="minorHAnsi"/>
          <w:bCs/>
        </w:rPr>
        <w:t xml:space="preserve"> (nuosavybės apsauga)</w:t>
      </w:r>
      <w:r w:rsidRPr="006D5AAF">
        <w:rPr>
          <w:rFonts w:cstheme="minorHAnsi"/>
          <w:bCs/>
        </w:rPr>
        <w:t>, manė, kad pareiga atlyginti sumokėtą netekto darbingumo pensiją yra neteisinga ir neproporcinga.</w:t>
      </w:r>
      <w:r>
        <w:rPr>
          <w:rFonts w:cstheme="minorHAnsi"/>
          <w:bCs/>
        </w:rPr>
        <w:t xml:space="preserve"> Pareiškėjas pabrėžė, kad žalą sukėlė nelaimingas atsitikimas, jis savo kaltę pripažino, nukentėjusiajam buvo priteistas turtinės ir neturtinės žalos atlyginimas, kuris visiškai kompensavo patirtus sužalojimus. Jis pažymėjo, kad pareiga atlyginti netekto darbingumo pensijos sumas buvo neterminuota ir mokama suma vis didėjo dėl didėjančios pensijos sumos. Be to, pareiškėjas pabrėžė, kad jis, mokėdamas mokesčius ir socialinio draudimo įmokas, jau prisidėjo prie viešųjų fondų, iš kurių mokamos socialinio draudimo išmokos, tačiau toliau buvo verčiamas finansuoti nukentėjusiam asmeniui mokamą pensiją, taip perkeliant jam valstybei priklausančias pareigas.</w:t>
      </w:r>
    </w:p>
    <w:p w14:paraId="7398C742" w14:textId="77777777" w:rsidR="00FB42A8" w:rsidRPr="004A5CF1" w:rsidRDefault="00FB42A8" w:rsidP="00FB42A8">
      <w:pPr>
        <w:spacing w:after="0" w:line="240" w:lineRule="auto"/>
        <w:jc w:val="center"/>
        <w:rPr>
          <w:rFonts w:cstheme="minorHAnsi"/>
          <w:bCs/>
          <w:highlight w:val="yellow"/>
        </w:rPr>
      </w:pPr>
    </w:p>
    <w:p w14:paraId="47211B3F" w14:textId="77777777" w:rsidR="00FB42A8" w:rsidRPr="004E45CE" w:rsidRDefault="00FB42A8" w:rsidP="00FB42A8">
      <w:pPr>
        <w:spacing w:after="0" w:line="240" w:lineRule="auto"/>
        <w:jc w:val="center"/>
        <w:rPr>
          <w:rFonts w:cstheme="minorHAnsi"/>
          <w:b/>
        </w:rPr>
      </w:pPr>
      <w:r w:rsidRPr="004E45CE">
        <w:rPr>
          <w:rFonts w:cstheme="minorHAnsi"/>
          <w:b/>
        </w:rPr>
        <w:t>Neoficiali Teismo sprendimo apžvalga</w:t>
      </w:r>
    </w:p>
    <w:p w14:paraId="5C1F2BDB" w14:textId="77777777" w:rsidR="00FB42A8" w:rsidRPr="004E45CE" w:rsidRDefault="00FB42A8" w:rsidP="00FB42A8">
      <w:pPr>
        <w:spacing w:after="0" w:line="240" w:lineRule="auto"/>
        <w:ind w:firstLine="567"/>
        <w:jc w:val="both"/>
        <w:rPr>
          <w:rFonts w:cstheme="minorHAnsi"/>
        </w:rPr>
      </w:pPr>
    </w:p>
    <w:p w14:paraId="32E266F2" w14:textId="77777777" w:rsidR="00FB42A8" w:rsidRDefault="00FB42A8" w:rsidP="00FB42A8">
      <w:pPr>
        <w:spacing w:after="0" w:line="240" w:lineRule="auto"/>
        <w:ind w:firstLine="567"/>
        <w:jc w:val="both"/>
        <w:rPr>
          <w:rFonts w:cstheme="minorHAnsi"/>
          <w:bCs/>
        </w:rPr>
      </w:pPr>
      <w:r w:rsidRPr="000D719F">
        <w:rPr>
          <w:rFonts w:cstheme="minorHAnsi"/>
          <w:bCs/>
        </w:rPr>
        <w:t>Teismas pirmiausia pažymėjo, kad byloje nagrinėjamu atveju pareiškėjas buvo įpareigotas sumokėti 5</w:t>
      </w:r>
      <w:r>
        <w:rPr>
          <w:rFonts w:cstheme="minorHAnsi"/>
          <w:bCs/>
        </w:rPr>
        <w:t> </w:t>
      </w:r>
      <w:r w:rsidRPr="000D719F">
        <w:rPr>
          <w:rFonts w:cstheme="minorHAnsi"/>
          <w:bCs/>
        </w:rPr>
        <w:t>824</w:t>
      </w:r>
      <w:r>
        <w:rPr>
          <w:rFonts w:cstheme="minorHAnsi"/>
          <w:bCs/>
        </w:rPr>
        <w:t> </w:t>
      </w:r>
      <w:r w:rsidRPr="000D719F">
        <w:rPr>
          <w:rFonts w:cstheme="minorHAnsi"/>
          <w:bCs/>
        </w:rPr>
        <w:t xml:space="preserve">Eur netekto darbingumo pensijos kompensaciją, kurią socialinio draudimo įstaiga išmokėjo asmeniui, kurį netyčia sužalojo pareiškėjas. Tokia pareiga </w:t>
      </w:r>
      <w:r>
        <w:rPr>
          <w:rFonts w:cstheme="minorHAnsi"/>
          <w:bCs/>
        </w:rPr>
        <w:t>vertintina kaip kišimasis į</w:t>
      </w:r>
      <w:r w:rsidRPr="000D719F">
        <w:rPr>
          <w:rFonts w:cstheme="minorHAnsi"/>
          <w:bCs/>
        </w:rPr>
        <w:t xml:space="preserve"> </w:t>
      </w:r>
      <w:r>
        <w:rPr>
          <w:rFonts w:cstheme="minorHAnsi"/>
          <w:bCs/>
        </w:rPr>
        <w:t>pareiškėjo</w:t>
      </w:r>
      <w:r w:rsidRPr="000D719F">
        <w:rPr>
          <w:rFonts w:cstheme="minorHAnsi"/>
          <w:bCs/>
        </w:rPr>
        <w:t xml:space="preserve"> teises pagal Konvencijos </w:t>
      </w:r>
      <w:r>
        <w:rPr>
          <w:rFonts w:cstheme="minorHAnsi"/>
          <w:bCs/>
        </w:rPr>
        <w:t>P</w:t>
      </w:r>
      <w:r w:rsidRPr="000D719F">
        <w:rPr>
          <w:rFonts w:cstheme="minorHAnsi"/>
          <w:bCs/>
        </w:rPr>
        <w:t xml:space="preserve">rotokolo </w:t>
      </w:r>
      <w:r>
        <w:rPr>
          <w:rFonts w:cstheme="minorHAnsi"/>
          <w:bCs/>
        </w:rPr>
        <w:t xml:space="preserve">Nr. 1 </w:t>
      </w:r>
      <w:r w:rsidRPr="000D719F">
        <w:rPr>
          <w:rFonts w:cstheme="minorHAnsi"/>
          <w:bCs/>
        </w:rPr>
        <w:t>1 straipsnį.</w:t>
      </w:r>
    </w:p>
    <w:p w14:paraId="32942B74" w14:textId="77777777" w:rsidR="00FB42A8" w:rsidRDefault="00FB42A8" w:rsidP="00FB42A8">
      <w:pPr>
        <w:spacing w:after="0" w:line="240" w:lineRule="auto"/>
        <w:ind w:firstLine="567"/>
        <w:jc w:val="both"/>
        <w:rPr>
          <w:rFonts w:cstheme="minorHAnsi"/>
          <w:bCs/>
        </w:rPr>
      </w:pPr>
      <w:r>
        <w:rPr>
          <w:rFonts w:cstheme="minorHAnsi"/>
          <w:bCs/>
        </w:rPr>
        <w:t>Teismas akcentavo, kad Lietuvos teisės aktuose buvo numatyta, jog d</w:t>
      </w:r>
      <w:r w:rsidRPr="00B52F04">
        <w:rPr>
          <w:rFonts w:cstheme="minorHAnsi"/>
          <w:bCs/>
        </w:rPr>
        <w:t xml:space="preserve">raudimo išmokas išmokėjusios socialinio draudimo įstaigos įgyja regreso teisę į žalą padariusį asmenį. Vertindamas, ar tokiu įsikišimu buvo siekiama teisėto tikslo, Teismas </w:t>
      </w:r>
      <w:r>
        <w:rPr>
          <w:rFonts w:cstheme="minorHAnsi"/>
          <w:bCs/>
        </w:rPr>
        <w:t>pabrėžė</w:t>
      </w:r>
      <w:r w:rsidRPr="00B52F04">
        <w:rPr>
          <w:rFonts w:cstheme="minorHAnsi"/>
          <w:bCs/>
        </w:rPr>
        <w:t>, kad nagrinėjama priemone buvo siekiama užtikrinti valstybės institucijų galimybę mokėti netekto darbingumo pensiją asmeniui, kurį sužalojo pareiškėjas, taigi tokiu įsikišimu buvo siekiama teisėtų visuomenės interesų tikslų.</w:t>
      </w:r>
    </w:p>
    <w:p w14:paraId="7953DD4D" w14:textId="48BC5E22" w:rsidR="00FB42A8" w:rsidRDefault="00FB42A8" w:rsidP="00FB42A8">
      <w:pPr>
        <w:spacing w:after="0" w:line="240" w:lineRule="auto"/>
        <w:ind w:firstLine="567"/>
        <w:jc w:val="both"/>
        <w:rPr>
          <w:rFonts w:cstheme="minorHAnsi"/>
          <w:bCs/>
        </w:rPr>
      </w:pPr>
      <w:r>
        <w:rPr>
          <w:rFonts w:cstheme="minorHAnsi"/>
          <w:bCs/>
        </w:rPr>
        <w:t xml:space="preserve">Toliau buvo vertinama, ar aptariamas kišimasis buvo proporcingas siekiamam tikslui. Pirmiausia Teismas nesutiko su pareiškėjo argumentu, kad jis </w:t>
      </w:r>
      <w:r w:rsidR="00A47E32">
        <w:rPr>
          <w:rFonts w:cstheme="minorHAnsi"/>
          <w:bCs/>
        </w:rPr>
        <w:t>visiškai</w:t>
      </w:r>
      <w:r>
        <w:rPr>
          <w:rFonts w:cstheme="minorHAnsi"/>
          <w:bCs/>
        </w:rPr>
        <w:t xml:space="preserve"> kompensavo nukentėjusiajam padarytą žalą sumokėdamas baudžiamajame procese priteistą turtinės ir neturtinės žalos atlyginimo sumą. Teismas išskyrė nukentėjusiojo patirtą turtinę žalą sužeidimo metu (medicininės, transporto ir pan. išlaidos)</w:t>
      </w:r>
      <w:r w:rsidRPr="001F5F24">
        <w:rPr>
          <w:rFonts w:cstheme="minorHAnsi"/>
          <w:bCs/>
        </w:rPr>
        <w:t xml:space="preserve"> </w:t>
      </w:r>
      <w:r>
        <w:rPr>
          <w:rFonts w:cstheme="minorHAnsi"/>
          <w:bCs/>
        </w:rPr>
        <w:t xml:space="preserve">ir žalą, kilusią vėliau (pvz., pajamų netekimas dėl netekto darbingumo, papildomos medicininės išlaidos). Teismas sutiko su Vyriausybės argumentu, kad visa žala sužeidimo metu negali būti visada nustatyta, nes nukentėjęs asmuo turi turėti teisę reikalauti atlyginti naujus nuostolius, kurie kilo jau po sužeidimo. </w:t>
      </w:r>
    </w:p>
    <w:p w14:paraId="215DBCD9" w14:textId="4C10BDE4" w:rsidR="00FB42A8" w:rsidRDefault="00FB42A8" w:rsidP="00FB42A8">
      <w:pPr>
        <w:spacing w:after="0" w:line="240" w:lineRule="auto"/>
        <w:ind w:firstLine="567"/>
        <w:jc w:val="both"/>
        <w:rPr>
          <w:rFonts w:cstheme="minorHAnsi"/>
          <w:bCs/>
        </w:rPr>
      </w:pPr>
      <w:r>
        <w:rPr>
          <w:rFonts w:cstheme="minorHAnsi"/>
          <w:bCs/>
        </w:rPr>
        <w:t xml:space="preserve">Atkreiptas dėmesys, kad </w:t>
      </w:r>
      <w:r w:rsidRPr="007F4939">
        <w:rPr>
          <w:rFonts w:cstheme="minorHAnsi"/>
          <w:bCs/>
          <w:u w:val="single"/>
        </w:rPr>
        <w:t>reikalavimas pareiškėjui kompensuoti nukentėjusiajam išmokėtas sumas nebuvo privaloma ar automatinė jo pripažinimo kaltu, padarius nusikalstamą veiką, pasekmė</w:t>
      </w:r>
      <w:r>
        <w:rPr>
          <w:rFonts w:cstheme="minorHAnsi"/>
          <w:bCs/>
        </w:rPr>
        <w:t xml:space="preserve">. Nacionaliniai teismai vertino, ar </w:t>
      </w:r>
      <w:r w:rsidRPr="007F4939">
        <w:rPr>
          <w:rFonts w:cstheme="minorHAnsi"/>
          <w:bCs/>
        </w:rPr>
        <w:t>Ž. K. darbingumas sumažėjo dėl pareiškėjo veiksmų ir ar jam mokama pensija buvo lygi žalai, patirtai dėl sužalojimų</w:t>
      </w:r>
      <w:r>
        <w:rPr>
          <w:rFonts w:cstheme="minorHAnsi"/>
          <w:bCs/>
        </w:rPr>
        <w:t>.</w:t>
      </w:r>
      <w:r w:rsidRPr="007F4939">
        <w:rPr>
          <w:rFonts w:cstheme="minorHAnsi"/>
          <w:bCs/>
        </w:rPr>
        <w:t xml:space="preserve"> </w:t>
      </w:r>
      <w:r>
        <w:rPr>
          <w:rFonts w:cstheme="minorHAnsi"/>
          <w:bCs/>
        </w:rPr>
        <w:t>P</w:t>
      </w:r>
      <w:r w:rsidRPr="007F4939">
        <w:rPr>
          <w:rFonts w:cstheme="minorHAnsi"/>
          <w:bCs/>
        </w:rPr>
        <w:t>agal vidaus teisę pareiškėjas galė</w:t>
      </w:r>
      <w:r>
        <w:rPr>
          <w:rFonts w:cstheme="minorHAnsi"/>
          <w:bCs/>
        </w:rPr>
        <w:t>jo</w:t>
      </w:r>
      <w:r w:rsidRPr="007F4939">
        <w:rPr>
          <w:rFonts w:cstheme="minorHAnsi"/>
          <w:bCs/>
        </w:rPr>
        <w:t xml:space="preserve"> būti įpareigotas atlyginti tik tiek pensijos, kiek </w:t>
      </w:r>
      <w:r w:rsidRPr="007F4939">
        <w:rPr>
          <w:rFonts w:cstheme="minorHAnsi"/>
          <w:bCs/>
        </w:rPr>
        <w:lastRenderedPageBreak/>
        <w:t>atiti</w:t>
      </w:r>
      <w:r>
        <w:rPr>
          <w:rFonts w:cstheme="minorHAnsi"/>
          <w:bCs/>
        </w:rPr>
        <w:t>ko</w:t>
      </w:r>
      <w:r w:rsidRPr="007F4939">
        <w:rPr>
          <w:rFonts w:cstheme="minorHAnsi"/>
          <w:bCs/>
        </w:rPr>
        <w:t xml:space="preserve"> jo veiksmais padarytą žalą.</w:t>
      </w:r>
      <w:r w:rsidRPr="007F4939">
        <w:t xml:space="preserve"> </w:t>
      </w:r>
      <w:r w:rsidRPr="007F4939">
        <w:rPr>
          <w:rFonts w:cstheme="minorHAnsi"/>
          <w:bCs/>
        </w:rPr>
        <w:t xml:space="preserve">Be to, </w:t>
      </w:r>
      <w:r w:rsidRPr="007C297E">
        <w:rPr>
          <w:rFonts w:cstheme="minorHAnsi"/>
          <w:bCs/>
          <w:u w:val="single"/>
        </w:rPr>
        <w:t>pareiškėjas turėjo galimybę ginčyti priežastinį ryšį tarp savo veiksmų ir nukentėjusiojo sužalojimų masto</w:t>
      </w:r>
      <w:r w:rsidRPr="007F4939">
        <w:rPr>
          <w:rFonts w:cstheme="minorHAnsi"/>
          <w:bCs/>
        </w:rPr>
        <w:t>, jo prašymu buvo paskirta teismo medicinos ekspertizė procese dėl 2017</w:t>
      </w:r>
      <w:r w:rsidR="00E158C2">
        <w:rPr>
          <w:rFonts w:cstheme="minorHAnsi"/>
          <w:bCs/>
        </w:rPr>
        <w:t> </w:t>
      </w:r>
      <w:r w:rsidRPr="007F4939">
        <w:rPr>
          <w:rFonts w:cstheme="minorHAnsi"/>
          <w:bCs/>
        </w:rPr>
        <w:t xml:space="preserve">m. pateikto reikalavimo atlyginti išlaidas. Taigi Teismas </w:t>
      </w:r>
      <w:r>
        <w:rPr>
          <w:rFonts w:cstheme="minorHAnsi"/>
          <w:bCs/>
        </w:rPr>
        <w:t>vertino</w:t>
      </w:r>
      <w:r w:rsidRPr="007F4939">
        <w:rPr>
          <w:rFonts w:cstheme="minorHAnsi"/>
          <w:bCs/>
        </w:rPr>
        <w:t xml:space="preserve">, kad </w:t>
      </w:r>
      <w:r>
        <w:rPr>
          <w:rFonts w:cstheme="minorHAnsi"/>
          <w:bCs/>
        </w:rPr>
        <w:t>visos procedūros, vertinant jas bendrai,</w:t>
      </w:r>
      <w:r w:rsidRPr="007F4939">
        <w:rPr>
          <w:rFonts w:cstheme="minorHAnsi"/>
          <w:bCs/>
        </w:rPr>
        <w:t xml:space="preserve"> suteikė </w:t>
      </w:r>
      <w:r>
        <w:rPr>
          <w:rFonts w:cstheme="minorHAnsi"/>
          <w:bCs/>
        </w:rPr>
        <w:t>pareiškėjui</w:t>
      </w:r>
      <w:r w:rsidRPr="007F4939">
        <w:rPr>
          <w:rFonts w:cstheme="minorHAnsi"/>
          <w:bCs/>
        </w:rPr>
        <w:t xml:space="preserve"> galimybę </w:t>
      </w:r>
      <w:r>
        <w:rPr>
          <w:rFonts w:cstheme="minorHAnsi"/>
          <w:bCs/>
        </w:rPr>
        <w:t>pateikti savo argumentus</w:t>
      </w:r>
      <w:r w:rsidRPr="007F4939">
        <w:rPr>
          <w:rFonts w:cstheme="minorHAnsi"/>
          <w:bCs/>
        </w:rPr>
        <w:t xml:space="preserve"> atitinkamoms institucijoms, kad jos nustatytų teisingą pusiausvyrą tarp konfliktuojančių interesų</w:t>
      </w:r>
      <w:r>
        <w:rPr>
          <w:rFonts w:cstheme="minorHAnsi"/>
          <w:bCs/>
        </w:rPr>
        <w:t xml:space="preserve">. </w:t>
      </w:r>
    </w:p>
    <w:p w14:paraId="24229DA3" w14:textId="77777777" w:rsidR="00FB42A8" w:rsidRDefault="00FB42A8" w:rsidP="00FB42A8">
      <w:pPr>
        <w:spacing w:after="0" w:line="240" w:lineRule="auto"/>
        <w:ind w:firstLine="567"/>
        <w:jc w:val="both"/>
        <w:rPr>
          <w:rFonts w:cstheme="minorHAnsi"/>
          <w:bCs/>
        </w:rPr>
      </w:pPr>
      <w:r>
        <w:rPr>
          <w:rFonts w:cstheme="minorHAnsi"/>
          <w:bCs/>
        </w:rPr>
        <w:t xml:space="preserve">Teismas taip pat </w:t>
      </w:r>
      <w:r w:rsidRPr="007C297E">
        <w:rPr>
          <w:rFonts w:cstheme="minorHAnsi"/>
          <w:bCs/>
        </w:rPr>
        <w:t>atkreip</w:t>
      </w:r>
      <w:r>
        <w:rPr>
          <w:rFonts w:cstheme="minorHAnsi"/>
          <w:bCs/>
        </w:rPr>
        <w:t>ė</w:t>
      </w:r>
      <w:r w:rsidRPr="007C297E">
        <w:rPr>
          <w:rFonts w:cstheme="minorHAnsi"/>
          <w:bCs/>
        </w:rPr>
        <w:t xml:space="preserve"> dėmesį, kad </w:t>
      </w:r>
      <w:r w:rsidRPr="007C297E">
        <w:rPr>
          <w:rFonts w:cstheme="minorHAnsi"/>
          <w:bCs/>
          <w:u w:val="single"/>
        </w:rPr>
        <w:t>nukentėjusiajam išmokėtos netekto darbingumo pensijos dydis buvo nustatytas ne automatiškai, o atsižvelgiant į individualias aplinkybes ir faktinę jo patirtą žalą</w:t>
      </w:r>
      <w:r w:rsidRPr="007C297E">
        <w:rPr>
          <w:rFonts w:cstheme="minorHAnsi"/>
          <w:bCs/>
        </w:rPr>
        <w:t xml:space="preserve">. </w:t>
      </w:r>
      <w:r>
        <w:rPr>
          <w:rFonts w:cstheme="minorHAnsi"/>
          <w:bCs/>
        </w:rPr>
        <w:t>A</w:t>
      </w:r>
      <w:r w:rsidRPr="007C297E">
        <w:rPr>
          <w:rFonts w:cstheme="minorHAnsi"/>
          <w:bCs/>
        </w:rPr>
        <w:t>pskaičiuojant pensiją</w:t>
      </w:r>
      <w:r>
        <w:rPr>
          <w:rFonts w:cstheme="minorHAnsi"/>
          <w:bCs/>
        </w:rPr>
        <w:t>,</w:t>
      </w:r>
      <w:r w:rsidRPr="007C297E">
        <w:rPr>
          <w:rFonts w:cstheme="minorHAnsi"/>
          <w:bCs/>
        </w:rPr>
        <w:t xml:space="preserve"> buvo atsižvelgta į Ž. K. darbingumo lygį, darbo stažą ir atlyginimą, kurį jis gaudavo iki traumos; vien</w:t>
      </w:r>
      <w:r>
        <w:rPr>
          <w:rFonts w:cstheme="minorHAnsi"/>
          <w:bCs/>
        </w:rPr>
        <w:t>u</w:t>
      </w:r>
      <w:r w:rsidRPr="007C297E">
        <w:rPr>
          <w:rFonts w:cstheme="minorHAnsi"/>
          <w:bCs/>
        </w:rPr>
        <w:t xml:space="preserve"> laikotarp</w:t>
      </w:r>
      <w:r>
        <w:rPr>
          <w:rFonts w:cstheme="minorHAnsi"/>
          <w:bCs/>
        </w:rPr>
        <w:t>iu</w:t>
      </w:r>
      <w:r w:rsidRPr="007C297E">
        <w:rPr>
          <w:rFonts w:cstheme="minorHAnsi"/>
          <w:bCs/>
        </w:rPr>
        <w:t>, kai jo darbingumas buvo įvertintas pakankamai aukšt</w:t>
      </w:r>
      <w:r>
        <w:rPr>
          <w:rFonts w:cstheme="minorHAnsi"/>
          <w:bCs/>
        </w:rPr>
        <w:t>ai</w:t>
      </w:r>
      <w:r w:rsidRPr="007C297E">
        <w:rPr>
          <w:rFonts w:cstheme="minorHAnsi"/>
          <w:bCs/>
        </w:rPr>
        <w:t xml:space="preserve"> (70</w:t>
      </w:r>
      <w:r>
        <w:rPr>
          <w:rFonts w:cstheme="minorHAnsi"/>
          <w:bCs/>
        </w:rPr>
        <w:t> </w:t>
      </w:r>
      <w:r w:rsidRPr="007C297E">
        <w:rPr>
          <w:rFonts w:cstheme="minorHAnsi"/>
          <w:bCs/>
        </w:rPr>
        <w:t>proc.), pensija nebuvo mokama</w:t>
      </w:r>
      <w:r>
        <w:rPr>
          <w:rFonts w:cstheme="minorHAnsi"/>
          <w:bCs/>
        </w:rPr>
        <w:t>.</w:t>
      </w:r>
    </w:p>
    <w:p w14:paraId="5F0630A8" w14:textId="77777777" w:rsidR="00FB42A8" w:rsidRDefault="00FB42A8" w:rsidP="00FB42A8">
      <w:pPr>
        <w:spacing w:after="0" w:line="240" w:lineRule="auto"/>
        <w:ind w:firstLine="567"/>
        <w:jc w:val="both"/>
        <w:rPr>
          <w:rFonts w:cstheme="minorHAnsi"/>
          <w:bCs/>
        </w:rPr>
      </w:pPr>
      <w:r w:rsidRPr="007C297E">
        <w:rPr>
          <w:rFonts w:cstheme="minorHAnsi"/>
          <w:bCs/>
        </w:rPr>
        <w:t>Teismas atsižvelg</w:t>
      </w:r>
      <w:r>
        <w:rPr>
          <w:rFonts w:cstheme="minorHAnsi"/>
          <w:bCs/>
        </w:rPr>
        <w:t>ė</w:t>
      </w:r>
      <w:r w:rsidRPr="007C297E">
        <w:rPr>
          <w:rFonts w:cstheme="minorHAnsi"/>
          <w:bCs/>
        </w:rPr>
        <w:t xml:space="preserve"> į pareiškėjo </w:t>
      </w:r>
      <w:r>
        <w:rPr>
          <w:rFonts w:cstheme="minorHAnsi"/>
          <w:bCs/>
        </w:rPr>
        <w:t xml:space="preserve">išdėstytą </w:t>
      </w:r>
      <w:r w:rsidRPr="007C297E">
        <w:rPr>
          <w:rFonts w:cstheme="minorHAnsi"/>
          <w:bCs/>
        </w:rPr>
        <w:t>argumentą, kad Ž.</w:t>
      </w:r>
      <w:r>
        <w:rPr>
          <w:rFonts w:cstheme="minorHAnsi"/>
          <w:bCs/>
        </w:rPr>
        <w:t xml:space="preserve"> </w:t>
      </w:r>
      <w:r w:rsidRPr="007C297E">
        <w:rPr>
          <w:rFonts w:cstheme="minorHAnsi"/>
          <w:bCs/>
        </w:rPr>
        <w:t xml:space="preserve">K. </w:t>
      </w:r>
      <w:r>
        <w:rPr>
          <w:rFonts w:cstheme="minorHAnsi"/>
          <w:bCs/>
        </w:rPr>
        <w:t xml:space="preserve">pensijos dydis </w:t>
      </w:r>
      <w:r w:rsidRPr="007C297E">
        <w:rPr>
          <w:rFonts w:cstheme="minorHAnsi"/>
          <w:bCs/>
        </w:rPr>
        <w:t xml:space="preserve">taip pat priklausė nuo bazinės pensijos dydžio, kurį nustato </w:t>
      </w:r>
      <w:r>
        <w:rPr>
          <w:rFonts w:cstheme="minorHAnsi"/>
          <w:bCs/>
        </w:rPr>
        <w:t>V</w:t>
      </w:r>
      <w:r w:rsidRPr="007C297E">
        <w:rPr>
          <w:rFonts w:cstheme="minorHAnsi"/>
          <w:bCs/>
        </w:rPr>
        <w:t>yriausybė, atsižvelgdama į įvairius ekonominius ar politinius veiksnius</w:t>
      </w:r>
      <w:r>
        <w:rPr>
          <w:rFonts w:cstheme="minorHAnsi"/>
          <w:bCs/>
        </w:rPr>
        <w:t>, tačiau akcentavo, kad</w:t>
      </w:r>
      <w:r w:rsidRPr="007C297E">
        <w:rPr>
          <w:rFonts w:cstheme="minorHAnsi"/>
          <w:bCs/>
        </w:rPr>
        <w:t xml:space="preserve"> </w:t>
      </w:r>
      <w:r w:rsidRPr="007C297E">
        <w:rPr>
          <w:rFonts w:cstheme="minorHAnsi"/>
          <w:bCs/>
          <w:u w:val="single"/>
        </w:rPr>
        <w:t>negali konstatuoti, jog netekto darbingumo pensijos dydžio koregavimas taip, kad jis atspindėtų besikeičiančią ekonominę realybę šalyje, yra savavališkas ar neprotingas</w:t>
      </w:r>
      <w:r w:rsidRPr="007C297E">
        <w:rPr>
          <w:rFonts w:cstheme="minorHAnsi"/>
          <w:bCs/>
        </w:rPr>
        <w:t xml:space="preserve">. </w:t>
      </w:r>
      <w:r>
        <w:rPr>
          <w:rFonts w:cstheme="minorHAnsi"/>
          <w:bCs/>
        </w:rPr>
        <w:t>P</w:t>
      </w:r>
      <w:r w:rsidRPr="007C297E">
        <w:rPr>
          <w:rFonts w:cstheme="minorHAnsi"/>
          <w:bCs/>
        </w:rPr>
        <w:t>areiškėjas neįrodinėjo, kad laipsniškas Ž. K. pensijos didinimas buvo reikšmingas arba kad dėl to ši pensija nebeatitiko Ž. K. patirtos žalos dėl traumų.</w:t>
      </w:r>
    </w:p>
    <w:p w14:paraId="0B8590F3" w14:textId="3951AD5E" w:rsidR="00FB42A8" w:rsidRDefault="00FB42A8" w:rsidP="00FB42A8">
      <w:pPr>
        <w:spacing w:after="0" w:line="240" w:lineRule="auto"/>
        <w:ind w:firstLine="567"/>
        <w:jc w:val="both"/>
        <w:rPr>
          <w:rFonts w:cstheme="minorHAnsi"/>
          <w:bCs/>
        </w:rPr>
      </w:pPr>
      <w:r>
        <w:rPr>
          <w:rFonts w:cstheme="minorHAnsi"/>
          <w:bCs/>
        </w:rPr>
        <w:t xml:space="preserve">Akcentuota ir tai, kad, </w:t>
      </w:r>
      <w:r w:rsidRPr="006E1C44">
        <w:rPr>
          <w:rFonts w:cstheme="minorHAnsi"/>
          <w:bCs/>
          <w:u w:val="single"/>
        </w:rPr>
        <w:t xml:space="preserve">vertinant proporcingumą, svarbu, </w:t>
      </w:r>
      <w:r>
        <w:rPr>
          <w:rFonts w:cstheme="minorHAnsi"/>
          <w:bCs/>
          <w:u w:val="single"/>
        </w:rPr>
        <w:t>jog</w:t>
      </w:r>
      <w:r w:rsidRPr="006E1C44">
        <w:rPr>
          <w:rFonts w:cstheme="minorHAnsi"/>
          <w:bCs/>
          <w:u w:val="single"/>
        </w:rPr>
        <w:t xml:space="preserve"> nukentėjusiojo darbingumui pagerėjus ateityje, pareiškėjas turėtų teisę prašyti teismų iš naujo įvertinti mokėtinos kompensacijos dydį</w:t>
      </w:r>
      <w:r>
        <w:rPr>
          <w:rFonts w:cstheme="minorHAnsi"/>
          <w:bCs/>
        </w:rPr>
        <w:t>. Y</w:t>
      </w:r>
      <w:r w:rsidRPr="006E1C44">
        <w:rPr>
          <w:rFonts w:cstheme="minorHAnsi"/>
          <w:bCs/>
        </w:rPr>
        <w:t>pač svarbu, kad nacionalinė teisė suteik</w:t>
      </w:r>
      <w:r>
        <w:rPr>
          <w:rFonts w:cstheme="minorHAnsi"/>
          <w:bCs/>
        </w:rPr>
        <w:t>ė</w:t>
      </w:r>
      <w:r w:rsidRPr="006E1C44">
        <w:rPr>
          <w:rFonts w:cstheme="minorHAnsi"/>
          <w:bCs/>
        </w:rPr>
        <w:t xml:space="preserve"> pareiškėjui galimybę prašyti sumažinti sumą, kurią jis privalo sumokėti, be kit</w:t>
      </w:r>
      <w:r>
        <w:rPr>
          <w:rFonts w:cstheme="minorHAnsi"/>
          <w:bCs/>
        </w:rPr>
        <w:t>a ko</w:t>
      </w:r>
      <w:r w:rsidRPr="006E1C44">
        <w:rPr>
          <w:rFonts w:cstheme="minorHAnsi"/>
          <w:bCs/>
        </w:rPr>
        <w:t>, atsižvelgiant į jo finansinę padėtį, į tai, kad sužalojimas buvo padarytas netyčia</w:t>
      </w:r>
      <w:r w:rsidR="00E158C2">
        <w:rPr>
          <w:rFonts w:cstheme="minorHAnsi"/>
          <w:bCs/>
        </w:rPr>
        <w:t>,</w:t>
      </w:r>
      <w:r w:rsidRPr="006E1C44">
        <w:rPr>
          <w:rFonts w:cstheme="minorHAnsi"/>
          <w:bCs/>
        </w:rPr>
        <w:t xml:space="preserve"> arba tai, kad jis jau atlygino nukentėjusiajam didelę padarytos žalos dalį. Tačiau</w:t>
      </w:r>
      <w:r>
        <w:rPr>
          <w:rFonts w:cstheme="minorHAnsi"/>
          <w:bCs/>
        </w:rPr>
        <w:t xml:space="preserve"> </w:t>
      </w:r>
      <w:r w:rsidRPr="006E1C44">
        <w:rPr>
          <w:rFonts w:cstheme="minorHAnsi"/>
          <w:bCs/>
        </w:rPr>
        <w:t>pareiškėjas tokio prašymo niekada n</w:t>
      </w:r>
      <w:r>
        <w:rPr>
          <w:rFonts w:cstheme="minorHAnsi"/>
          <w:bCs/>
        </w:rPr>
        <w:t>e</w:t>
      </w:r>
      <w:r w:rsidRPr="006E1C44">
        <w:rPr>
          <w:rFonts w:cstheme="minorHAnsi"/>
          <w:bCs/>
        </w:rPr>
        <w:t xml:space="preserve">teikė. Taigi jis nepasinaudojo </w:t>
      </w:r>
      <w:r>
        <w:rPr>
          <w:rFonts w:cstheme="minorHAnsi"/>
          <w:bCs/>
        </w:rPr>
        <w:t>nacionalinių</w:t>
      </w:r>
      <w:r w:rsidRPr="006E1C44">
        <w:rPr>
          <w:rFonts w:cstheme="minorHAnsi"/>
          <w:bCs/>
        </w:rPr>
        <w:t xml:space="preserve"> įstatym</w:t>
      </w:r>
      <w:r>
        <w:rPr>
          <w:rFonts w:cstheme="minorHAnsi"/>
          <w:bCs/>
        </w:rPr>
        <w:t>ų</w:t>
      </w:r>
      <w:r w:rsidRPr="006E1C44">
        <w:rPr>
          <w:rFonts w:cstheme="minorHAnsi"/>
          <w:bCs/>
        </w:rPr>
        <w:t xml:space="preserve"> suteikta galimybe siekti sumažinti jam tenkančią finansinę naštą ir nepateikė teismui paaiškinimų, kodėl to nepadarė.</w:t>
      </w:r>
    </w:p>
    <w:p w14:paraId="1E166DAE" w14:textId="77777777" w:rsidR="00FB42A8" w:rsidRDefault="00FB42A8" w:rsidP="00FB42A8">
      <w:pPr>
        <w:spacing w:after="0" w:line="240" w:lineRule="auto"/>
        <w:ind w:firstLine="567"/>
        <w:jc w:val="both"/>
        <w:rPr>
          <w:rFonts w:cstheme="minorHAnsi"/>
          <w:bCs/>
        </w:rPr>
      </w:pPr>
      <w:r>
        <w:rPr>
          <w:rFonts w:cstheme="minorHAnsi"/>
          <w:bCs/>
        </w:rPr>
        <w:t xml:space="preserve">Teismas įvertino ir tą aplinkybę, </w:t>
      </w:r>
      <w:r w:rsidRPr="006E1C44">
        <w:rPr>
          <w:rFonts w:cstheme="minorHAnsi"/>
          <w:bCs/>
        </w:rPr>
        <w:t xml:space="preserve">kad </w:t>
      </w:r>
      <w:r>
        <w:rPr>
          <w:rFonts w:cstheme="minorHAnsi"/>
          <w:bCs/>
        </w:rPr>
        <w:t>socialinio draudimo įstaiga</w:t>
      </w:r>
      <w:r w:rsidRPr="006E1C44">
        <w:rPr>
          <w:rFonts w:cstheme="minorHAnsi"/>
          <w:bCs/>
        </w:rPr>
        <w:t xml:space="preserve"> patenkino visus pareiškėjo prašymus </w:t>
      </w:r>
      <w:r>
        <w:rPr>
          <w:rFonts w:cstheme="minorHAnsi"/>
          <w:bCs/>
        </w:rPr>
        <w:t>išdėstyti mokėjimus</w:t>
      </w:r>
      <w:r w:rsidRPr="006E1C44">
        <w:rPr>
          <w:rFonts w:cstheme="minorHAnsi"/>
          <w:bCs/>
        </w:rPr>
        <w:t xml:space="preserve"> kas mėnesį mokamomis įmokomis, o teisminį procesą jo atžvilgiu pradėjo tik po to, kai jis atsisakė savo noru atlikti mokėjimus. </w:t>
      </w:r>
      <w:r>
        <w:rPr>
          <w:rFonts w:cstheme="minorHAnsi"/>
          <w:bCs/>
        </w:rPr>
        <w:t>Taigi</w:t>
      </w:r>
      <w:r w:rsidRPr="006E1C44">
        <w:rPr>
          <w:rFonts w:cstheme="minorHAnsi"/>
          <w:bCs/>
        </w:rPr>
        <w:t xml:space="preserve"> </w:t>
      </w:r>
      <w:r w:rsidRPr="006E1C44">
        <w:rPr>
          <w:rFonts w:cstheme="minorHAnsi"/>
          <w:bCs/>
          <w:u w:val="single"/>
        </w:rPr>
        <w:t>nacionalinės institucijos elgėsi lanksčiai ir ėmėsi priemonių, skirtų palengvinti jam tenkančią finansinę naštą</w:t>
      </w:r>
      <w:r>
        <w:rPr>
          <w:rFonts w:cstheme="minorHAnsi"/>
          <w:bCs/>
        </w:rPr>
        <w:t>.</w:t>
      </w:r>
    </w:p>
    <w:p w14:paraId="5D7A76EA" w14:textId="77777777" w:rsidR="00FB42A8" w:rsidRDefault="00FB42A8" w:rsidP="00FB42A8">
      <w:pPr>
        <w:spacing w:after="0" w:line="240" w:lineRule="auto"/>
        <w:ind w:firstLine="567"/>
        <w:jc w:val="both"/>
        <w:rPr>
          <w:rFonts w:cstheme="minorHAnsi"/>
          <w:bCs/>
        </w:rPr>
      </w:pPr>
      <w:r w:rsidRPr="006E1C44">
        <w:rPr>
          <w:rFonts w:cstheme="minorHAnsi"/>
          <w:bCs/>
        </w:rPr>
        <w:t>Galiausiai</w:t>
      </w:r>
      <w:r>
        <w:rPr>
          <w:rFonts w:cstheme="minorHAnsi"/>
          <w:bCs/>
        </w:rPr>
        <w:t xml:space="preserve"> </w:t>
      </w:r>
      <w:r w:rsidRPr="006E1C44">
        <w:rPr>
          <w:rFonts w:cstheme="minorHAnsi"/>
          <w:bCs/>
        </w:rPr>
        <w:t>Teismas atkreip</w:t>
      </w:r>
      <w:r>
        <w:rPr>
          <w:rFonts w:cstheme="minorHAnsi"/>
          <w:bCs/>
        </w:rPr>
        <w:t>ė</w:t>
      </w:r>
      <w:r w:rsidRPr="006E1C44">
        <w:rPr>
          <w:rFonts w:cstheme="minorHAnsi"/>
          <w:bCs/>
        </w:rPr>
        <w:t xml:space="preserve"> dėmesį į tai, kad </w:t>
      </w:r>
      <w:r>
        <w:rPr>
          <w:rFonts w:cstheme="minorHAnsi"/>
          <w:bCs/>
        </w:rPr>
        <w:t>pareiškėjo</w:t>
      </w:r>
      <w:r w:rsidRPr="006E1C44">
        <w:rPr>
          <w:rFonts w:cstheme="minorHAnsi"/>
          <w:bCs/>
        </w:rPr>
        <w:t xml:space="preserve"> prievolės atlyginti nukentėjusiajam išmokėtą netekto darbingumo pensiją trukmė, nors ir neabejotinai ilga, yra tokia pati kaip ir laikotarpis, per kurį nukentėjusiojo darbingumas ir pajamų gavimas išlieka sumažėjęs, t. </w:t>
      </w:r>
      <w:r>
        <w:rPr>
          <w:rFonts w:cstheme="minorHAnsi"/>
          <w:bCs/>
        </w:rPr>
        <w:t>y.</w:t>
      </w:r>
      <w:r w:rsidRPr="006E1C44">
        <w:rPr>
          <w:rFonts w:cstheme="minorHAnsi"/>
          <w:bCs/>
        </w:rPr>
        <w:t xml:space="preserve"> tok</w:t>
      </w:r>
      <w:r>
        <w:rPr>
          <w:rFonts w:cstheme="minorHAnsi"/>
          <w:bCs/>
        </w:rPr>
        <w:t>ia</w:t>
      </w:r>
      <w:r w:rsidRPr="006E1C44">
        <w:rPr>
          <w:rFonts w:cstheme="minorHAnsi"/>
          <w:bCs/>
        </w:rPr>
        <w:t xml:space="preserve"> pat</w:t>
      </w:r>
      <w:r>
        <w:rPr>
          <w:rFonts w:cstheme="minorHAnsi"/>
          <w:bCs/>
        </w:rPr>
        <w:t>i</w:t>
      </w:r>
      <w:r w:rsidRPr="006E1C44">
        <w:rPr>
          <w:rFonts w:cstheme="minorHAnsi"/>
          <w:bCs/>
        </w:rPr>
        <w:t xml:space="preserve"> kaip laikotarpis, per kurį nukentėjusysis ir toliau patirs pareiškėjo neatsargių veiksmų pasekmes. Todėl Teismas negal</w:t>
      </w:r>
      <w:r>
        <w:rPr>
          <w:rFonts w:cstheme="minorHAnsi"/>
          <w:bCs/>
        </w:rPr>
        <w:t>ėjo</w:t>
      </w:r>
      <w:r w:rsidRPr="006E1C44">
        <w:rPr>
          <w:rFonts w:cstheme="minorHAnsi"/>
          <w:bCs/>
        </w:rPr>
        <w:t xml:space="preserve"> spręsti, kad nagrinėjamo </w:t>
      </w:r>
      <w:r>
        <w:rPr>
          <w:rFonts w:cstheme="minorHAnsi"/>
          <w:bCs/>
        </w:rPr>
        <w:t>kišimosi</w:t>
      </w:r>
      <w:r w:rsidRPr="006E1C44">
        <w:rPr>
          <w:rFonts w:cstheme="minorHAnsi"/>
          <w:bCs/>
        </w:rPr>
        <w:t xml:space="preserve"> trukmė yra pakankama, </w:t>
      </w:r>
      <w:r>
        <w:rPr>
          <w:rFonts w:cstheme="minorHAnsi"/>
          <w:bCs/>
        </w:rPr>
        <w:t>jog</w:t>
      </w:r>
      <w:r w:rsidRPr="006E1C44">
        <w:rPr>
          <w:rFonts w:cstheme="minorHAnsi"/>
          <w:bCs/>
        </w:rPr>
        <w:t xml:space="preserve"> jis būtų </w:t>
      </w:r>
      <w:r>
        <w:rPr>
          <w:rFonts w:cstheme="minorHAnsi"/>
          <w:bCs/>
        </w:rPr>
        <w:t xml:space="preserve">pripažintas </w:t>
      </w:r>
      <w:r w:rsidRPr="006E1C44">
        <w:rPr>
          <w:rFonts w:cstheme="minorHAnsi"/>
          <w:bCs/>
        </w:rPr>
        <w:t>neproporcing</w:t>
      </w:r>
      <w:r>
        <w:rPr>
          <w:rFonts w:cstheme="minorHAnsi"/>
          <w:bCs/>
        </w:rPr>
        <w:t>u</w:t>
      </w:r>
      <w:r w:rsidRPr="006E1C44">
        <w:rPr>
          <w:rFonts w:cstheme="minorHAnsi"/>
          <w:bCs/>
        </w:rPr>
        <w:t>.</w:t>
      </w:r>
    </w:p>
    <w:p w14:paraId="3E30CC85" w14:textId="77777777" w:rsidR="00FB42A8" w:rsidRDefault="00FB42A8" w:rsidP="00FB42A8">
      <w:pPr>
        <w:spacing w:after="0" w:line="240" w:lineRule="auto"/>
        <w:ind w:firstLine="567"/>
        <w:jc w:val="both"/>
        <w:rPr>
          <w:rFonts w:cstheme="minorHAnsi"/>
          <w:bCs/>
        </w:rPr>
      </w:pPr>
      <w:r>
        <w:rPr>
          <w:rFonts w:cstheme="minorHAnsi"/>
          <w:bCs/>
        </w:rPr>
        <w:t xml:space="preserve">Įvertinęs šios konkrečios bylos aplinkybes, Teismas konstatavo, kad </w:t>
      </w:r>
      <w:r w:rsidRPr="00631333">
        <w:rPr>
          <w:rFonts w:cstheme="minorHAnsi"/>
          <w:bCs/>
        </w:rPr>
        <w:t xml:space="preserve">buvo nustatyta teisinga pusiausvyra tarp, viena vertus, bendro </w:t>
      </w:r>
      <w:r>
        <w:rPr>
          <w:rFonts w:cstheme="minorHAnsi"/>
          <w:bCs/>
        </w:rPr>
        <w:t xml:space="preserve">visuomenės </w:t>
      </w:r>
      <w:r w:rsidRPr="00631333">
        <w:rPr>
          <w:rFonts w:cstheme="minorHAnsi"/>
          <w:bCs/>
        </w:rPr>
        <w:t>intereso ir, kita vertus, pareiškėjo nuosavybės teisių.</w:t>
      </w:r>
    </w:p>
    <w:p w14:paraId="7122D82A" w14:textId="77777777" w:rsidR="00FB42A8" w:rsidRPr="00B52F04" w:rsidRDefault="00FB42A8" w:rsidP="00FB42A8">
      <w:pPr>
        <w:spacing w:after="0" w:line="240" w:lineRule="auto"/>
        <w:ind w:firstLine="567"/>
        <w:jc w:val="both"/>
        <w:rPr>
          <w:rFonts w:cstheme="minorHAnsi"/>
          <w:bCs/>
        </w:rPr>
      </w:pPr>
    </w:p>
    <w:p w14:paraId="60CBB8E5" w14:textId="77777777" w:rsidR="00FB42A8" w:rsidRPr="00631333" w:rsidRDefault="00FB42A8" w:rsidP="00FB42A8">
      <w:pPr>
        <w:spacing w:after="0" w:line="240" w:lineRule="auto"/>
        <w:ind w:firstLine="567"/>
        <w:jc w:val="both"/>
        <w:rPr>
          <w:rFonts w:cstheme="minorHAnsi"/>
        </w:rPr>
      </w:pPr>
      <w:r w:rsidRPr="00631333">
        <w:rPr>
          <w:rFonts w:cstheme="minorHAnsi"/>
        </w:rPr>
        <w:t>Išvada: Konvencijos Protokolo Nr. 1 1 straipsnio pažeidimas nenustatytas (vienbalsiai).</w:t>
      </w:r>
    </w:p>
    <w:p w14:paraId="028109EE" w14:textId="77777777" w:rsidR="00FB42A8" w:rsidRPr="00631333" w:rsidRDefault="00FB42A8" w:rsidP="00FB42A8">
      <w:pPr>
        <w:spacing w:after="0" w:line="240" w:lineRule="auto"/>
        <w:ind w:firstLine="567"/>
        <w:rPr>
          <w:rFonts w:cstheme="minorHAnsi"/>
        </w:rPr>
      </w:pPr>
      <w:hyperlink r:id="rId25" w:anchor="{%22itemid%22:[%22001-230627%22]}" w:history="1">
        <w:r w:rsidRPr="00631333">
          <w:rPr>
            <w:rStyle w:val="Hipersaitas"/>
            <w:rFonts w:cstheme="minorHAnsi"/>
            <w:shd w:val="clear" w:color="auto" w:fill="FFFFFF"/>
          </w:rPr>
          <w:t>Prieiga internete</w:t>
        </w:r>
      </w:hyperlink>
    </w:p>
    <w:p w14:paraId="467615B0" w14:textId="77777777" w:rsidR="00FB42A8" w:rsidRDefault="00FB42A8" w:rsidP="00837CD5">
      <w:pPr>
        <w:spacing w:after="0" w:line="240" w:lineRule="auto"/>
        <w:ind w:right="-1"/>
        <w:jc w:val="center"/>
        <w:rPr>
          <w:rFonts w:cstheme="minorHAnsi"/>
          <w:b/>
        </w:rPr>
      </w:pPr>
    </w:p>
    <w:p w14:paraId="10AE2967" w14:textId="77777777" w:rsidR="00837CD5" w:rsidRPr="00C170C3" w:rsidRDefault="00837CD5" w:rsidP="00837CD5">
      <w:pPr>
        <w:pStyle w:val="Antrat1"/>
        <w:spacing w:before="0"/>
        <w:ind w:right="-1"/>
        <w:rPr>
          <w:rFonts w:eastAsia="Times New Roman" w:cstheme="minorHAnsi"/>
          <w:szCs w:val="22"/>
        </w:rPr>
      </w:pPr>
      <w:bookmarkStart w:id="50" w:name="_Toc140843041"/>
      <w:bookmarkStart w:id="51" w:name="_Toc181709518"/>
      <w:r w:rsidRPr="00C170C3">
        <w:rPr>
          <w:rFonts w:eastAsia="Times New Roman" w:cstheme="minorHAnsi"/>
          <w:szCs w:val="22"/>
        </w:rPr>
        <w:t>TEISĖ Į LAISVUS RINKIMUS (Protokolo Nr. 1 3 straipsnis)</w:t>
      </w:r>
      <w:bookmarkEnd w:id="50"/>
      <w:bookmarkEnd w:id="51"/>
    </w:p>
    <w:p w14:paraId="04770965" w14:textId="77777777" w:rsidR="00837CD5" w:rsidRDefault="00837CD5" w:rsidP="00837CD5">
      <w:pPr>
        <w:spacing w:after="0" w:line="240" w:lineRule="auto"/>
        <w:rPr>
          <w:rFonts w:ascii="Calibri" w:eastAsia="Times New Roman" w:hAnsi="Calibri" w:cs="Calibri"/>
          <w:b/>
          <w:color w:val="323E4F"/>
        </w:rPr>
      </w:pPr>
    </w:p>
    <w:p w14:paraId="776B27A6" w14:textId="77777777" w:rsidR="00D11584" w:rsidRPr="00315AA8" w:rsidRDefault="00D11584" w:rsidP="00D11584">
      <w:pPr>
        <w:pStyle w:val="Betarp"/>
        <w:ind w:right="-1"/>
        <w:jc w:val="center"/>
        <w:rPr>
          <w:rFonts w:ascii="Calibri" w:hAnsi="Calibri" w:cs="Calibri"/>
          <w:b/>
          <w:bCs/>
        </w:rPr>
      </w:pPr>
      <w:r w:rsidRPr="00315AA8">
        <w:rPr>
          <w:rFonts w:ascii="Calibri" w:hAnsi="Calibri" w:cs="Calibri"/>
          <w:b/>
          <w:bCs/>
        </w:rPr>
        <w:t>Europos Žmogaus Teisių Teismo 2024 m. balandžio 16 d. sprendimas byloje</w:t>
      </w:r>
    </w:p>
    <w:p w14:paraId="64DCF494" w14:textId="77777777" w:rsidR="00D11584" w:rsidRPr="00D11584" w:rsidRDefault="00D11584" w:rsidP="00D11584">
      <w:pPr>
        <w:keepNext/>
        <w:keepLines/>
        <w:spacing w:after="0" w:line="240" w:lineRule="auto"/>
        <w:jc w:val="center"/>
        <w:outlineLvl w:val="1"/>
        <w:rPr>
          <w:rFonts w:ascii="Calibri" w:eastAsia="Times New Roman" w:hAnsi="Calibri" w:cs="Times New Roman"/>
          <w:b/>
          <w:bCs/>
          <w:i/>
          <w:iCs/>
          <w:color w:val="2E74B5"/>
        </w:rPr>
      </w:pPr>
      <w:bookmarkStart w:id="52" w:name="_Toc181709519"/>
      <w:r w:rsidRPr="00D11584">
        <w:rPr>
          <w:rFonts w:ascii="Calibri" w:eastAsia="Times New Roman" w:hAnsi="Calibri" w:cs="Times New Roman"/>
          <w:b/>
          <w:bCs/>
          <w:i/>
          <w:iCs/>
          <w:color w:val="2E74B5"/>
        </w:rPr>
        <w:t>Guðmundur Gunnarsson and Magnús Davíð Norðdahl prieš Islandiją</w:t>
      </w:r>
      <w:bookmarkEnd w:id="52"/>
    </w:p>
    <w:p w14:paraId="0B9FB38D" w14:textId="413F86D4" w:rsidR="00D11584" w:rsidRPr="00315AA8" w:rsidRDefault="00D11584" w:rsidP="00D11584">
      <w:pPr>
        <w:pStyle w:val="Betarp"/>
        <w:ind w:right="-1"/>
        <w:jc w:val="center"/>
        <w:rPr>
          <w:rFonts w:ascii="Calibri" w:hAnsi="Calibri" w:cs="Calibri"/>
          <w:b/>
          <w:bCs/>
        </w:rPr>
      </w:pPr>
      <w:r w:rsidRPr="00315AA8">
        <w:rPr>
          <w:rFonts w:ascii="Calibri" w:hAnsi="Calibri" w:cs="Calibri"/>
          <w:b/>
          <w:bCs/>
        </w:rPr>
        <w:t>(pareiškimų Nr.</w:t>
      </w:r>
      <w:r w:rsidRPr="00315AA8">
        <w:rPr>
          <w:rFonts w:ascii="Calibri" w:hAnsi="Calibri" w:cs="Calibri"/>
          <w:b/>
          <w:bCs/>
          <w:i/>
          <w:iCs/>
        </w:rPr>
        <w:t> </w:t>
      </w:r>
      <w:r w:rsidRPr="00315AA8">
        <w:rPr>
          <w:rFonts w:ascii="Calibri" w:hAnsi="Calibri" w:cs="Calibri"/>
          <w:b/>
          <w:bCs/>
          <w:iCs/>
        </w:rPr>
        <w:t>24159/22</w:t>
      </w:r>
      <w:r w:rsidR="00E158C2">
        <w:rPr>
          <w:rFonts w:ascii="Calibri" w:hAnsi="Calibri" w:cs="Calibri"/>
          <w:b/>
          <w:bCs/>
          <w:iCs/>
        </w:rPr>
        <w:t xml:space="preserve"> </w:t>
      </w:r>
      <w:r w:rsidRPr="00315AA8">
        <w:rPr>
          <w:rFonts w:ascii="Calibri" w:hAnsi="Calibri" w:cs="Calibri"/>
          <w:b/>
          <w:bCs/>
          <w:iCs/>
        </w:rPr>
        <w:t>ir</w:t>
      </w:r>
      <w:r w:rsidR="00E158C2">
        <w:rPr>
          <w:rFonts w:ascii="Calibri" w:hAnsi="Calibri" w:cs="Calibri"/>
          <w:b/>
          <w:bCs/>
          <w:iCs/>
        </w:rPr>
        <w:t xml:space="preserve"> </w:t>
      </w:r>
      <w:r w:rsidRPr="00315AA8">
        <w:rPr>
          <w:rFonts w:ascii="Calibri" w:hAnsi="Calibri" w:cs="Calibri"/>
          <w:b/>
          <w:bCs/>
          <w:iCs/>
        </w:rPr>
        <w:t>25751/22</w:t>
      </w:r>
      <w:r w:rsidRPr="00315AA8">
        <w:rPr>
          <w:rFonts w:ascii="Calibri" w:hAnsi="Calibri" w:cs="Calibri"/>
          <w:b/>
          <w:bCs/>
        </w:rPr>
        <w:t>, svarbos lygis – 2)</w:t>
      </w:r>
    </w:p>
    <w:p w14:paraId="08B7DD47" w14:textId="77777777" w:rsidR="00D11584" w:rsidRPr="00315AA8" w:rsidRDefault="00D11584" w:rsidP="00D11584">
      <w:pPr>
        <w:pStyle w:val="Betarp"/>
        <w:ind w:right="-1"/>
        <w:jc w:val="center"/>
        <w:rPr>
          <w:rFonts w:ascii="Calibri" w:hAnsi="Calibri" w:cs="Calibri"/>
          <w:b/>
          <w:bCs/>
        </w:rPr>
      </w:pPr>
    </w:p>
    <w:p w14:paraId="10B090FD" w14:textId="77777777" w:rsidR="00D11584" w:rsidRPr="00D11584" w:rsidRDefault="00D11584" w:rsidP="00D11584">
      <w:pPr>
        <w:pStyle w:val="Antrat3"/>
        <w:spacing w:before="0" w:line="240" w:lineRule="auto"/>
        <w:ind w:right="-1" w:firstLine="567"/>
        <w:rPr>
          <w:rFonts w:ascii="Calibri" w:eastAsia="Times New Roman" w:hAnsi="Calibri" w:cs="Times New Roman"/>
        </w:rPr>
      </w:pPr>
      <w:bookmarkStart w:id="53" w:name="_Toc181709520"/>
      <w:r w:rsidRPr="00D11584">
        <w:rPr>
          <w:rFonts w:ascii="Calibri" w:eastAsia="Times New Roman" w:hAnsi="Calibri" w:cs="Times New Roman"/>
        </w:rPr>
        <w:t>Dėl parlamento rinkimų rezultatų patvirtinimo, neužtikrinus nešališko ir veiksmingo skundų nagrinėjimo dėl rinkimų rezultatų vienoje rinkimų apygardoje</w:t>
      </w:r>
      <w:bookmarkEnd w:id="53"/>
      <w:r w:rsidRPr="00D11584">
        <w:rPr>
          <w:rFonts w:ascii="Calibri" w:eastAsia="Times New Roman" w:hAnsi="Calibri" w:cs="Times New Roman"/>
        </w:rPr>
        <w:t xml:space="preserve"> </w:t>
      </w:r>
    </w:p>
    <w:p w14:paraId="60B6E31E" w14:textId="77777777" w:rsidR="00D11584" w:rsidRPr="00315AA8" w:rsidRDefault="00D11584" w:rsidP="00D11584">
      <w:pPr>
        <w:pStyle w:val="Betarp"/>
        <w:ind w:right="-1"/>
        <w:jc w:val="center"/>
        <w:rPr>
          <w:rFonts w:ascii="Calibri" w:hAnsi="Calibri" w:cs="Calibri"/>
          <w:b/>
          <w:bCs/>
        </w:rPr>
      </w:pPr>
    </w:p>
    <w:p w14:paraId="6333F25A" w14:textId="77777777" w:rsidR="00D11584" w:rsidRPr="00315AA8" w:rsidRDefault="00D11584" w:rsidP="00D11584">
      <w:pPr>
        <w:pStyle w:val="Betarp"/>
        <w:ind w:right="-1"/>
        <w:jc w:val="center"/>
        <w:rPr>
          <w:rFonts w:ascii="Calibri" w:hAnsi="Calibri" w:cs="Calibri"/>
          <w:b/>
          <w:bCs/>
        </w:rPr>
      </w:pPr>
      <w:r w:rsidRPr="00315AA8">
        <w:rPr>
          <w:rFonts w:ascii="Calibri" w:hAnsi="Calibri" w:cs="Calibri"/>
          <w:b/>
          <w:bCs/>
        </w:rPr>
        <w:t>Faktinės aplinkybės</w:t>
      </w:r>
    </w:p>
    <w:p w14:paraId="5AE55B95" w14:textId="77777777" w:rsidR="00D11584" w:rsidRPr="00315AA8" w:rsidRDefault="00D11584" w:rsidP="00D11584">
      <w:pPr>
        <w:pStyle w:val="Betarp"/>
        <w:ind w:right="-1"/>
        <w:jc w:val="center"/>
        <w:rPr>
          <w:rFonts w:ascii="Calibri" w:hAnsi="Calibri" w:cs="Calibri"/>
        </w:rPr>
      </w:pPr>
    </w:p>
    <w:p w14:paraId="2BF74AC2" w14:textId="77777777" w:rsidR="00D11584" w:rsidRDefault="00D11584" w:rsidP="00D11584">
      <w:pPr>
        <w:spacing w:after="0" w:line="240" w:lineRule="auto"/>
        <w:ind w:right="-1" w:firstLine="567"/>
        <w:jc w:val="both"/>
        <w:rPr>
          <w:rFonts w:ascii="Calibri" w:hAnsi="Calibri" w:cs="Calibri"/>
        </w:rPr>
      </w:pPr>
      <w:r w:rsidRPr="00315AA8">
        <w:rPr>
          <w:rFonts w:ascii="Calibri" w:hAnsi="Calibri" w:cs="Calibri"/>
        </w:rPr>
        <w:t>Pareiškėja</w:t>
      </w:r>
      <w:r>
        <w:rPr>
          <w:rFonts w:ascii="Calibri" w:hAnsi="Calibri" w:cs="Calibri"/>
        </w:rPr>
        <w:t>i</w:t>
      </w:r>
      <w:r w:rsidRPr="00315AA8">
        <w:rPr>
          <w:rFonts w:ascii="Calibri" w:hAnsi="Calibri" w:cs="Calibri"/>
        </w:rPr>
        <w:t xml:space="preserve"> skundėsi dėl </w:t>
      </w:r>
      <w:r>
        <w:rPr>
          <w:rFonts w:ascii="Calibri" w:hAnsi="Calibri" w:cs="Calibri"/>
        </w:rPr>
        <w:t xml:space="preserve">Protokolo Nr. 1 3 straipsnio pažeidimo, nepagrįstai patvirtinus 2021 m. Islandijos Parlamento rinkimų rezultatus, </w:t>
      </w:r>
      <w:r w:rsidRPr="00277697">
        <w:rPr>
          <w:rFonts w:ascii="Calibri" w:hAnsi="Calibri" w:cs="Calibri"/>
        </w:rPr>
        <w:t>pareiškėja</w:t>
      </w:r>
      <w:r>
        <w:rPr>
          <w:rFonts w:ascii="Calibri" w:hAnsi="Calibri" w:cs="Calibri"/>
        </w:rPr>
        <w:t>ms</w:t>
      </w:r>
      <w:r w:rsidRPr="00277697">
        <w:rPr>
          <w:rFonts w:ascii="Calibri" w:hAnsi="Calibri" w:cs="Calibri"/>
        </w:rPr>
        <w:t xml:space="preserve"> </w:t>
      </w:r>
      <w:r>
        <w:rPr>
          <w:rFonts w:ascii="Calibri" w:hAnsi="Calibri" w:cs="Calibri"/>
        </w:rPr>
        <w:t>kandidatuojant</w:t>
      </w:r>
      <w:r w:rsidRPr="00277697">
        <w:rPr>
          <w:rFonts w:ascii="Calibri" w:hAnsi="Calibri" w:cs="Calibri"/>
        </w:rPr>
        <w:t xml:space="preserve"> savo atitinkamų partijų rinkimų sąrašuose vienoje iš regioninių rinkimų apygardų, bet </w:t>
      </w:r>
      <w:r>
        <w:rPr>
          <w:rFonts w:ascii="Calibri" w:hAnsi="Calibri" w:cs="Calibri"/>
        </w:rPr>
        <w:t>jų neišrinkus</w:t>
      </w:r>
      <w:r w:rsidRPr="00277697">
        <w:rPr>
          <w:rFonts w:ascii="Calibri" w:hAnsi="Calibri" w:cs="Calibri"/>
        </w:rPr>
        <w:t xml:space="preserve"> į Islandijos </w:t>
      </w:r>
      <w:r>
        <w:rPr>
          <w:rFonts w:ascii="Calibri" w:hAnsi="Calibri" w:cs="Calibri"/>
        </w:rPr>
        <w:t>P</w:t>
      </w:r>
      <w:r w:rsidRPr="00277697">
        <w:rPr>
          <w:rFonts w:ascii="Calibri" w:hAnsi="Calibri" w:cs="Calibri"/>
        </w:rPr>
        <w:t xml:space="preserve">arlamentą </w:t>
      </w:r>
      <w:r>
        <w:rPr>
          <w:rFonts w:ascii="Calibri" w:hAnsi="Calibri" w:cs="Calibri"/>
        </w:rPr>
        <w:t xml:space="preserve">– </w:t>
      </w:r>
      <w:r w:rsidRPr="000C3DF7">
        <w:rPr>
          <w:rFonts w:ascii="Calibri" w:hAnsi="Calibri" w:cs="Calibri"/>
          <w:i/>
          <w:iCs/>
        </w:rPr>
        <w:t>Althingi</w:t>
      </w:r>
      <w:r w:rsidRPr="00277697">
        <w:rPr>
          <w:rFonts w:ascii="Calibri" w:hAnsi="Calibri" w:cs="Calibri"/>
        </w:rPr>
        <w:t>.</w:t>
      </w:r>
    </w:p>
    <w:p w14:paraId="48FBAFF8" w14:textId="77777777" w:rsidR="00D11584" w:rsidRDefault="00D11584" w:rsidP="00D11584">
      <w:pPr>
        <w:spacing w:after="0" w:line="240" w:lineRule="auto"/>
        <w:ind w:right="-1" w:firstLine="567"/>
        <w:jc w:val="both"/>
        <w:rPr>
          <w:rFonts w:ascii="Calibri" w:hAnsi="Calibri" w:cs="Calibri"/>
        </w:rPr>
      </w:pPr>
      <w:r w:rsidRPr="000C3DF7">
        <w:rPr>
          <w:rFonts w:ascii="Calibri" w:hAnsi="Calibri" w:cs="Calibri"/>
          <w:i/>
          <w:iCs/>
        </w:rPr>
        <w:lastRenderedPageBreak/>
        <w:t xml:space="preserve">Althingi </w:t>
      </w:r>
      <w:r w:rsidRPr="00474AD7">
        <w:rPr>
          <w:rFonts w:ascii="Calibri" w:hAnsi="Calibri" w:cs="Calibri"/>
        </w:rPr>
        <w:t>sudaro šešiasdešimt trys nariai, renkami ketveriems metams</w:t>
      </w:r>
      <w:r>
        <w:rPr>
          <w:rFonts w:ascii="Calibri" w:hAnsi="Calibri" w:cs="Calibri"/>
        </w:rPr>
        <w:t>,</w:t>
      </w:r>
      <w:r w:rsidRPr="00474AD7">
        <w:rPr>
          <w:rFonts w:ascii="Calibri" w:hAnsi="Calibri" w:cs="Calibri"/>
        </w:rPr>
        <w:t xml:space="preserve"> taikant atviro sąrašo proporcingo atstovavimo sistemą.</w:t>
      </w:r>
      <w:r>
        <w:rPr>
          <w:rFonts w:ascii="Calibri" w:hAnsi="Calibri" w:cs="Calibri"/>
        </w:rPr>
        <w:t xml:space="preserve"> </w:t>
      </w:r>
      <w:r w:rsidRPr="00474AD7">
        <w:rPr>
          <w:rFonts w:ascii="Calibri" w:hAnsi="Calibri" w:cs="Calibri"/>
        </w:rPr>
        <w:t xml:space="preserve">Penkiasdešimt keturios parlamento vietos apygardų lygmeniu paskirstomos kandidatams </w:t>
      </w:r>
      <w:r>
        <w:rPr>
          <w:rFonts w:ascii="Calibri" w:hAnsi="Calibri" w:cs="Calibri"/>
        </w:rPr>
        <w:t>pagal</w:t>
      </w:r>
      <w:r w:rsidRPr="00474AD7">
        <w:rPr>
          <w:rFonts w:ascii="Calibri" w:hAnsi="Calibri" w:cs="Calibri"/>
        </w:rPr>
        <w:t xml:space="preserve"> partijų sąrašus, atsižvelgiant į balsų skaičių ir be rinkimų slenksčio. Devynios papildomos išlyginamosios vietos nacionaliniu lygiu skiriamos kandidatams </w:t>
      </w:r>
      <w:r>
        <w:rPr>
          <w:rFonts w:ascii="Calibri" w:hAnsi="Calibri" w:cs="Calibri"/>
        </w:rPr>
        <w:t>pagal</w:t>
      </w:r>
      <w:r w:rsidRPr="00474AD7">
        <w:rPr>
          <w:rFonts w:ascii="Calibri" w:hAnsi="Calibri" w:cs="Calibri"/>
        </w:rPr>
        <w:t xml:space="preserve"> partijų sąrašus, jeigu jų atitinkamos partijos visoje šalyje gauna ne mažiau kaip 5</w:t>
      </w:r>
      <w:r>
        <w:rPr>
          <w:rFonts w:ascii="Calibri" w:hAnsi="Calibri" w:cs="Calibri"/>
        </w:rPr>
        <w:t xml:space="preserve"> proc.</w:t>
      </w:r>
      <w:r w:rsidRPr="00474AD7">
        <w:rPr>
          <w:rFonts w:ascii="Calibri" w:hAnsi="Calibri" w:cs="Calibri"/>
        </w:rPr>
        <w:t xml:space="preserve"> visų balsų.</w:t>
      </w:r>
    </w:p>
    <w:p w14:paraId="7A9A9F79" w14:textId="77777777" w:rsidR="00D11584" w:rsidRDefault="00D11584" w:rsidP="00D11584">
      <w:pPr>
        <w:spacing w:after="0" w:line="240" w:lineRule="auto"/>
        <w:ind w:right="-1" w:firstLine="567"/>
        <w:jc w:val="both"/>
        <w:rPr>
          <w:rFonts w:ascii="Calibri" w:hAnsi="Calibri" w:cs="Calibri"/>
        </w:rPr>
      </w:pPr>
      <w:r>
        <w:rPr>
          <w:rFonts w:ascii="Calibri" w:hAnsi="Calibri" w:cs="Calibri"/>
        </w:rPr>
        <w:t xml:space="preserve">2021 m. </w:t>
      </w:r>
      <w:r w:rsidRPr="000C3DF7">
        <w:rPr>
          <w:rFonts w:ascii="Calibri" w:hAnsi="Calibri" w:cs="Calibri"/>
          <w:i/>
          <w:iCs/>
        </w:rPr>
        <w:t xml:space="preserve">Althingi </w:t>
      </w:r>
      <w:r>
        <w:rPr>
          <w:rFonts w:ascii="Calibri" w:hAnsi="Calibri" w:cs="Calibri"/>
        </w:rPr>
        <w:t>rinkimuose Šiaurės vakarų rinkimų apygardoje daugiausiai balsų surinko Liberalų reformatų partija, o po jos – Piratų partija. Dėl nedidelio balsų skirtumo Šiaurės vakarų rinkimų apygardoje perskaičiavus balsus, mandatai nacionaliniu lygmeniu buvo perskirstyti.</w:t>
      </w:r>
    </w:p>
    <w:p w14:paraId="18E4D1C1" w14:textId="77777777" w:rsidR="00D11584" w:rsidRDefault="00D11584" w:rsidP="00D11584">
      <w:pPr>
        <w:spacing w:after="0" w:line="240" w:lineRule="auto"/>
        <w:ind w:right="-1" w:firstLine="567"/>
        <w:jc w:val="both"/>
        <w:rPr>
          <w:rFonts w:ascii="Calibri" w:hAnsi="Calibri" w:cs="Calibri"/>
        </w:rPr>
      </w:pPr>
      <w:r>
        <w:rPr>
          <w:rFonts w:ascii="Calibri" w:hAnsi="Calibri" w:cs="Calibri"/>
        </w:rPr>
        <w:t xml:space="preserve">Pareiškėjai teigė, kad jų teisės pagal Protokolo Nr. 1 3 straipsnį būti renkamiems buvo pažeistos dėl įvairių trūkumų, susijusių su balsų perskaičiavimu </w:t>
      </w:r>
      <w:r w:rsidRPr="009A79FD">
        <w:rPr>
          <w:rFonts w:ascii="Calibri" w:hAnsi="Calibri" w:cs="Calibri"/>
        </w:rPr>
        <w:t>Šiaurės vakarų rinkimų apygardoje</w:t>
      </w:r>
      <w:r>
        <w:rPr>
          <w:rFonts w:ascii="Calibri" w:hAnsi="Calibri" w:cs="Calibri"/>
        </w:rPr>
        <w:t>,</w:t>
      </w:r>
      <w:r w:rsidRPr="009A79FD">
        <w:rPr>
          <w:rFonts w:ascii="Calibri" w:hAnsi="Calibri" w:cs="Calibri"/>
        </w:rPr>
        <w:t xml:space="preserve"> ir dėl to, kad Islandijos valdžios institucijos nesugebėjo veiksmingai išnagrinėti jų skundų. </w:t>
      </w:r>
      <w:r>
        <w:rPr>
          <w:rFonts w:ascii="Calibri" w:hAnsi="Calibri" w:cs="Calibri"/>
        </w:rPr>
        <w:t>J</w:t>
      </w:r>
      <w:r w:rsidRPr="009A79FD">
        <w:rPr>
          <w:rFonts w:ascii="Calibri" w:hAnsi="Calibri" w:cs="Calibri"/>
        </w:rPr>
        <w:t>ie atkreipė dėmesį į tai, kad nebuvo pakankamo teisinio pagrindo perskaičiuoti</w:t>
      </w:r>
      <w:r>
        <w:rPr>
          <w:rFonts w:ascii="Calibri" w:hAnsi="Calibri" w:cs="Calibri"/>
        </w:rPr>
        <w:t xml:space="preserve"> balsus</w:t>
      </w:r>
      <w:r w:rsidRPr="009A79FD">
        <w:rPr>
          <w:rFonts w:ascii="Calibri" w:hAnsi="Calibri" w:cs="Calibri"/>
        </w:rPr>
        <w:t xml:space="preserve">, kad buvo rimtų balsavimo biuletenių saugojimo ir tvarkymo pažeidimų ir kad suinteresuotų šalių atstovai neturėjo veiksmingos galimybės stebėti </w:t>
      </w:r>
      <w:r>
        <w:rPr>
          <w:rFonts w:ascii="Calibri" w:hAnsi="Calibri" w:cs="Calibri"/>
        </w:rPr>
        <w:t xml:space="preserve">balsų </w:t>
      </w:r>
      <w:r w:rsidRPr="009A79FD">
        <w:rPr>
          <w:rFonts w:ascii="Calibri" w:hAnsi="Calibri" w:cs="Calibri"/>
        </w:rPr>
        <w:t>perskaičiavim</w:t>
      </w:r>
      <w:r>
        <w:rPr>
          <w:rFonts w:ascii="Calibri" w:hAnsi="Calibri" w:cs="Calibri"/>
        </w:rPr>
        <w:t>ą</w:t>
      </w:r>
      <w:r w:rsidRPr="009A79FD">
        <w:rPr>
          <w:rFonts w:ascii="Calibri" w:hAnsi="Calibri" w:cs="Calibri"/>
        </w:rPr>
        <w:t>. Pareiškėjų nuomone, nustatyti pažeidimai kėlė pavojų rinkimų rezultat</w:t>
      </w:r>
      <w:r>
        <w:rPr>
          <w:rFonts w:ascii="Calibri" w:hAnsi="Calibri" w:cs="Calibri"/>
        </w:rPr>
        <w:t>ų</w:t>
      </w:r>
      <w:r w:rsidRPr="009A79FD">
        <w:rPr>
          <w:rFonts w:ascii="Calibri" w:hAnsi="Calibri" w:cs="Calibri"/>
        </w:rPr>
        <w:t xml:space="preserve"> patikimumui ir turėjo lemti rinkimų rezultat</w:t>
      </w:r>
      <w:r>
        <w:rPr>
          <w:rFonts w:ascii="Calibri" w:hAnsi="Calibri" w:cs="Calibri"/>
        </w:rPr>
        <w:t>ų</w:t>
      </w:r>
      <w:r w:rsidRPr="009A79FD">
        <w:rPr>
          <w:rFonts w:ascii="Calibri" w:hAnsi="Calibri" w:cs="Calibri"/>
        </w:rPr>
        <w:t xml:space="preserve"> negalioj</w:t>
      </w:r>
      <w:r>
        <w:rPr>
          <w:rFonts w:ascii="Calibri" w:hAnsi="Calibri" w:cs="Calibri"/>
        </w:rPr>
        <w:t>imą</w:t>
      </w:r>
      <w:r w:rsidRPr="009A79FD">
        <w:rPr>
          <w:rFonts w:ascii="Calibri" w:hAnsi="Calibri" w:cs="Calibri"/>
        </w:rPr>
        <w:t>.</w:t>
      </w:r>
    </w:p>
    <w:p w14:paraId="1D4FA910" w14:textId="77777777" w:rsidR="00D11584" w:rsidRDefault="00D11584" w:rsidP="00D11584">
      <w:pPr>
        <w:spacing w:after="0" w:line="240" w:lineRule="auto"/>
        <w:ind w:right="-1" w:firstLine="567"/>
        <w:jc w:val="both"/>
        <w:rPr>
          <w:rFonts w:ascii="Calibri" w:hAnsi="Calibri" w:cs="Calibri"/>
        </w:rPr>
      </w:pPr>
      <w:r>
        <w:rPr>
          <w:rFonts w:ascii="Calibri" w:hAnsi="Calibri" w:cs="Calibri"/>
        </w:rPr>
        <w:t>P</w:t>
      </w:r>
      <w:r w:rsidRPr="009B6DE1">
        <w:rPr>
          <w:rFonts w:ascii="Calibri" w:hAnsi="Calibri" w:cs="Calibri"/>
        </w:rPr>
        <w:t>areiškėjai</w:t>
      </w:r>
      <w:r>
        <w:rPr>
          <w:rFonts w:ascii="Calibri" w:hAnsi="Calibri" w:cs="Calibri"/>
        </w:rPr>
        <w:t xml:space="preserve"> taip pat</w:t>
      </w:r>
      <w:r w:rsidRPr="009B6DE1">
        <w:rPr>
          <w:rFonts w:ascii="Calibri" w:hAnsi="Calibri" w:cs="Calibri"/>
        </w:rPr>
        <w:t xml:space="preserve"> teigė, kad jiems nebuvo prieinamos jokios teisių gynimo priemonės dėl jų skundų pagal Protokolo Nr. 1 3 straipsnį, </w:t>
      </w:r>
      <w:r>
        <w:rPr>
          <w:rFonts w:ascii="Calibri" w:hAnsi="Calibri" w:cs="Calibri"/>
        </w:rPr>
        <w:t>kadangi</w:t>
      </w:r>
      <w:r w:rsidRPr="009B6DE1">
        <w:rPr>
          <w:rFonts w:ascii="Calibri" w:hAnsi="Calibri" w:cs="Calibri"/>
        </w:rPr>
        <w:t xml:space="preserve"> jie negalėjo pagrįstai </w:t>
      </w:r>
      <w:r>
        <w:rPr>
          <w:rFonts w:ascii="Calibri" w:hAnsi="Calibri" w:cs="Calibri"/>
        </w:rPr>
        <w:t>inicijuoti</w:t>
      </w:r>
      <w:r w:rsidRPr="009B6DE1">
        <w:rPr>
          <w:rFonts w:ascii="Calibri" w:hAnsi="Calibri" w:cs="Calibri"/>
        </w:rPr>
        <w:t xml:space="preserve"> teisminio proceso, galinčio išnagrinėti jų reikalavimus ir </w:t>
      </w:r>
      <w:r>
        <w:rPr>
          <w:rFonts w:ascii="Calibri" w:hAnsi="Calibri" w:cs="Calibri"/>
        </w:rPr>
        <w:t>tinkamai kompensuoti jų praradimus</w:t>
      </w:r>
      <w:r w:rsidRPr="009B6DE1">
        <w:rPr>
          <w:rFonts w:ascii="Calibri" w:hAnsi="Calibri" w:cs="Calibri"/>
        </w:rPr>
        <w:t>.</w:t>
      </w:r>
    </w:p>
    <w:p w14:paraId="14159D63" w14:textId="3D2444B0" w:rsidR="00D11584" w:rsidRPr="00315AA8" w:rsidRDefault="00D11584" w:rsidP="00D11584">
      <w:pPr>
        <w:tabs>
          <w:tab w:val="left" w:pos="3204"/>
        </w:tabs>
        <w:spacing w:after="0" w:line="240" w:lineRule="auto"/>
        <w:ind w:right="-1" w:firstLine="567"/>
        <w:jc w:val="both"/>
        <w:rPr>
          <w:rFonts w:ascii="Calibri" w:hAnsi="Calibri" w:cs="Calibri"/>
        </w:rPr>
      </w:pPr>
    </w:p>
    <w:p w14:paraId="1C4398E3" w14:textId="77777777" w:rsidR="00D11584" w:rsidRPr="00315AA8" w:rsidRDefault="00D11584" w:rsidP="00D11584">
      <w:pPr>
        <w:shd w:val="clear" w:color="auto" w:fill="FFFFFF"/>
        <w:spacing w:after="0" w:line="240" w:lineRule="auto"/>
        <w:ind w:right="-1"/>
        <w:jc w:val="center"/>
        <w:rPr>
          <w:rFonts w:ascii="Calibri" w:eastAsia="Times New Roman" w:hAnsi="Calibri" w:cs="Calibri"/>
          <w:b/>
          <w:bCs/>
          <w:color w:val="000000"/>
        </w:rPr>
      </w:pPr>
      <w:r w:rsidRPr="00315AA8">
        <w:rPr>
          <w:rFonts w:ascii="Calibri" w:eastAsia="Times New Roman" w:hAnsi="Calibri" w:cs="Calibri"/>
          <w:b/>
          <w:bCs/>
          <w:color w:val="000000"/>
        </w:rPr>
        <w:t>Neoficiali Teismo sprendimo apžvalga</w:t>
      </w:r>
    </w:p>
    <w:p w14:paraId="684CFF99" w14:textId="77777777" w:rsidR="00D11584" w:rsidRPr="00315AA8" w:rsidRDefault="00D11584" w:rsidP="00D11584">
      <w:pPr>
        <w:pStyle w:val="Betarp"/>
        <w:ind w:right="-1"/>
        <w:jc w:val="center"/>
        <w:rPr>
          <w:rFonts w:ascii="Calibri" w:hAnsi="Calibri" w:cs="Calibri"/>
        </w:rPr>
      </w:pPr>
    </w:p>
    <w:p w14:paraId="6CF68731" w14:textId="4E7C7DBD" w:rsidR="00D11584" w:rsidRDefault="00D11584" w:rsidP="00D11584">
      <w:pPr>
        <w:spacing w:after="0" w:line="240" w:lineRule="auto"/>
        <w:ind w:right="-1" w:firstLine="567"/>
        <w:jc w:val="both"/>
        <w:rPr>
          <w:rFonts w:ascii="Calibri" w:hAnsi="Calibri" w:cs="Calibri"/>
        </w:rPr>
      </w:pPr>
      <w:r w:rsidRPr="00315AA8">
        <w:rPr>
          <w:rFonts w:ascii="Calibri" w:hAnsi="Calibri" w:cs="Calibri"/>
        </w:rPr>
        <w:t xml:space="preserve">EŽTT pažymėjo, </w:t>
      </w:r>
      <w:r>
        <w:rPr>
          <w:rFonts w:ascii="Calibri" w:hAnsi="Calibri" w:cs="Calibri"/>
        </w:rPr>
        <w:t xml:space="preserve">kad Teismo didžioji kolegija 2020 m. liepos 10 d. sprendime </w:t>
      </w:r>
      <w:r w:rsidRPr="003150F3">
        <w:rPr>
          <w:rFonts w:ascii="Calibri" w:hAnsi="Calibri" w:cs="Calibri"/>
          <w:i/>
          <w:iCs/>
        </w:rPr>
        <w:t>Mugemangango</w:t>
      </w:r>
      <w:r w:rsidR="00E158C2">
        <w:rPr>
          <w:rFonts w:ascii="Calibri" w:hAnsi="Calibri" w:cs="Calibri"/>
          <w:i/>
          <w:iCs/>
        </w:rPr>
        <w:t xml:space="preserve"> </w:t>
      </w:r>
      <w:r>
        <w:rPr>
          <w:rFonts w:ascii="Calibri" w:hAnsi="Calibri" w:cs="Calibri"/>
          <w:i/>
          <w:iCs/>
        </w:rPr>
        <w:t>prieš Belgiją</w:t>
      </w:r>
      <w:r w:rsidRPr="00D92A42">
        <w:rPr>
          <w:rFonts w:ascii="Calibri" w:hAnsi="Calibri" w:cs="Calibri"/>
        </w:rPr>
        <w:t xml:space="preserve">, pareiškimo Nr. 310/15, </w:t>
      </w:r>
      <w:r>
        <w:rPr>
          <w:rFonts w:ascii="Calibri" w:hAnsi="Calibri" w:cs="Calibri"/>
        </w:rPr>
        <w:t xml:space="preserve">išaiškino skundų pagal Protokolo Nr. 1 3 straipsnį nagrinėjimo kriterijus, todėl Teismas vadovavosi šiais kriterijais nagrinėdamas pareiškėjų skundą. Teismas pažymėjo, kad laisvų rinkimų sampratai kiltų grėsmė tik tuo atveju, </w:t>
      </w:r>
      <w:r w:rsidRPr="004618E8">
        <w:rPr>
          <w:rFonts w:ascii="Calibri" w:hAnsi="Calibri" w:cs="Calibri"/>
        </w:rPr>
        <w:t xml:space="preserve">jei būtų įrodymų apie procedūrinius rinkimų proceso pažeidimus, </w:t>
      </w:r>
      <w:r>
        <w:rPr>
          <w:rFonts w:ascii="Calibri" w:hAnsi="Calibri" w:cs="Calibri"/>
        </w:rPr>
        <w:t>sutrukdžiusius</w:t>
      </w:r>
      <w:r w:rsidRPr="004618E8">
        <w:rPr>
          <w:rFonts w:ascii="Calibri" w:hAnsi="Calibri" w:cs="Calibri"/>
        </w:rPr>
        <w:t xml:space="preserve"> žmon</w:t>
      </w:r>
      <w:r>
        <w:rPr>
          <w:rFonts w:ascii="Calibri" w:hAnsi="Calibri" w:cs="Calibri"/>
        </w:rPr>
        <w:t>ėms</w:t>
      </w:r>
      <w:r w:rsidRPr="004618E8">
        <w:rPr>
          <w:rFonts w:ascii="Calibri" w:hAnsi="Calibri" w:cs="Calibri"/>
        </w:rPr>
        <w:t xml:space="preserve"> laisvai reikšti </w:t>
      </w:r>
      <w:r>
        <w:rPr>
          <w:rFonts w:ascii="Calibri" w:hAnsi="Calibri" w:cs="Calibri"/>
        </w:rPr>
        <w:t xml:space="preserve">savo </w:t>
      </w:r>
      <w:r w:rsidRPr="004618E8">
        <w:rPr>
          <w:rFonts w:ascii="Calibri" w:hAnsi="Calibri" w:cs="Calibri"/>
        </w:rPr>
        <w:t>nuomonę, ir kai</w:t>
      </w:r>
      <w:r>
        <w:rPr>
          <w:rFonts w:ascii="Calibri" w:hAnsi="Calibri" w:cs="Calibri"/>
        </w:rPr>
        <w:t xml:space="preserve"> skundai dėl tokių pažeidimų</w:t>
      </w:r>
      <w:r w:rsidRPr="004618E8">
        <w:rPr>
          <w:rFonts w:ascii="Calibri" w:hAnsi="Calibri" w:cs="Calibri"/>
        </w:rPr>
        <w:t xml:space="preserve"> </w:t>
      </w:r>
      <w:r>
        <w:rPr>
          <w:rFonts w:ascii="Calibri" w:hAnsi="Calibri" w:cs="Calibri"/>
        </w:rPr>
        <w:t>nebūtų</w:t>
      </w:r>
      <w:r w:rsidRPr="004618E8">
        <w:rPr>
          <w:rFonts w:ascii="Calibri" w:hAnsi="Calibri" w:cs="Calibri"/>
        </w:rPr>
        <w:t xml:space="preserve"> veiksming</w:t>
      </w:r>
      <w:r>
        <w:rPr>
          <w:rFonts w:ascii="Calibri" w:hAnsi="Calibri" w:cs="Calibri"/>
        </w:rPr>
        <w:t>ai</w:t>
      </w:r>
      <w:r w:rsidRPr="004618E8">
        <w:rPr>
          <w:rFonts w:ascii="Calibri" w:hAnsi="Calibri" w:cs="Calibri"/>
        </w:rPr>
        <w:t xml:space="preserve"> patikri</w:t>
      </w:r>
      <w:r>
        <w:rPr>
          <w:rFonts w:ascii="Calibri" w:hAnsi="Calibri" w:cs="Calibri"/>
        </w:rPr>
        <w:t>nami nacionaliniu</w:t>
      </w:r>
      <w:r w:rsidRPr="004618E8">
        <w:rPr>
          <w:rFonts w:ascii="Calibri" w:hAnsi="Calibri" w:cs="Calibri"/>
        </w:rPr>
        <w:t xml:space="preserve"> lygmeniu</w:t>
      </w:r>
      <w:r>
        <w:rPr>
          <w:rFonts w:ascii="Calibri" w:hAnsi="Calibri" w:cs="Calibri"/>
        </w:rPr>
        <w:t>.</w:t>
      </w:r>
    </w:p>
    <w:p w14:paraId="48AD513F" w14:textId="77777777" w:rsidR="00D11584" w:rsidRDefault="00D11584" w:rsidP="00D11584">
      <w:pPr>
        <w:spacing w:after="0" w:line="240" w:lineRule="auto"/>
        <w:ind w:right="-1" w:firstLine="567"/>
        <w:jc w:val="both"/>
        <w:rPr>
          <w:rFonts w:ascii="Calibri" w:hAnsi="Calibri" w:cs="Calibri"/>
        </w:rPr>
      </w:pPr>
      <w:r>
        <w:rPr>
          <w:rFonts w:ascii="Calibri" w:hAnsi="Calibri" w:cs="Calibri"/>
        </w:rPr>
        <w:t xml:space="preserve">Teismas pabrėžė, kad šiuo atveju </w:t>
      </w:r>
      <w:r w:rsidRPr="00761CEC">
        <w:rPr>
          <w:rFonts w:ascii="Calibri" w:hAnsi="Calibri" w:cs="Calibri"/>
        </w:rPr>
        <w:t xml:space="preserve">kyla pavojus ne pareiškėjų teisei laimėti rinkimus savo </w:t>
      </w:r>
      <w:r>
        <w:rPr>
          <w:rFonts w:ascii="Calibri" w:hAnsi="Calibri" w:cs="Calibri"/>
        </w:rPr>
        <w:t xml:space="preserve">rinkimų </w:t>
      </w:r>
      <w:r w:rsidRPr="00761CEC">
        <w:rPr>
          <w:rFonts w:ascii="Calibri" w:hAnsi="Calibri" w:cs="Calibri"/>
        </w:rPr>
        <w:t xml:space="preserve">apygardoje, o teisei laisvai ir veiksmingai kandidatuoti </w:t>
      </w:r>
      <w:r>
        <w:rPr>
          <w:rFonts w:ascii="Calibri" w:hAnsi="Calibri" w:cs="Calibri"/>
        </w:rPr>
        <w:t>juose</w:t>
      </w:r>
      <w:r w:rsidRPr="00761CEC">
        <w:rPr>
          <w:rFonts w:ascii="Calibri" w:hAnsi="Calibri" w:cs="Calibri"/>
        </w:rPr>
        <w:t xml:space="preserve">. Pagal Protokolo Nr. 1 3 straipsnį pareiškėjai turėjo teisę kandidatuoti į </w:t>
      </w:r>
      <w:r>
        <w:rPr>
          <w:rFonts w:ascii="Calibri" w:hAnsi="Calibri" w:cs="Calibri"/>
        </w:rPr>
        <w:t>r</w:t>
      </w:r>
      <w:r w:rsidRPr="00761CEC">
        <w:rPr>
          <w:rFonts w:ascii="Calibri" w:hAnsi="Calibri" w:cs="Calibri"/>
        </w:rPr>
        <w:t xml:space="preserve">inkimus sąžiningomis ir demokratinėmis sąlygomis, nepaisant to, ar galiausiai jie </w:t>
      </w:r>
      <w:r>
        <w:rPr>
          <w:rFonts w:ascii="Calibri" w:hAnsi="Calibri" w:cs="Calibri"/>
        </w:rPr>
        <w:t xml:space="preserve">užėmė </w:t>
      </w:r>
      <w:r w:rsidRPr="00761CEC">
        <w:rPr>
          <w:rFonts w:ascii="Calibri" w:hAnsi="Calibri" w:cs="Calibri"/>
        </w:rPr>
        <w:t xml:space="preserve">vietą </w:t>
      </w:r>
      <w:r w:rsidRPr="000C3DF7">
        <w:rPr>
          <w:rFonts w:ascii="Calibri" w:hAnsi="Calibri" w:cs="Calibri"/>
          <w:i/>
          <w:iCs/>
        </w:rPr>
        <w:t>Althingi</w:t>
      </w:r>
      <w:r w:rsidRPr="00761CEC">
        <w:rPr>
          <w:rFonts w:ascii="Calibri" w:hAnsi="Calibri" w:cs="Calibri"/>
        </w:rPr>
        <w:t xml:space="preserve">. </w:t>
      </w:r>
    </w:p>
    <w:p w14:paraId="3C12ADD6" w14:textId="77777777" w:rsidR="00D11584" w:rsidRDefault="00D11584" w:rsidP="00D11584">
      <w:pPr>
        <w:spacing w:after="0" w:line="240" w:lineRule="auto"/>
        <w:ind w:right="-1" w:firstLine="567"/>
        <w:jc w:val="both"/>
        <w:rPr>
          <w:rFonts w:ascii="Calibri" w:hAnsi="Calibri" w:cs="Calibri"/>
        </w:rPr>
      </w:pPr>
      <w:r w:rsidRPr="00761CEC">
        <w:rPr>
          <w:rFonts w:ascii="Calibri" w:hAnsi="Calibri" w:cs="Calibri"/>
        </w:rPr>
        <w:t>Teismas pasteb</w:t>
      </w:r>
      <w:r>
        <w:rPr>
          <w:rFonts w:ascii="Calibri" w:hAnsi="Calibri" w:cs="Calibri"/>
        </w:rPr>
        <w:t>ėjo</w:t>
      </w:r>
      <w:r w:rsidRPr="00761CEC">
        <w:rPr>
          <w:rFonts w:ascii="Calibri" w:hAnsi="Calibri" w:cs="Calibri"/>
        </w:rPr>
        <w:t xml:space="preserve">, kad pagal pradinį balsų skaičiavimą 2021 m. rugsėjo 26 d., pirmasis pareiškėjas buvo išrinktas į </w:t>
      </w:r>
      <w:r w:rsidRPr="000C3DF7">
        <w:rPr>
          <w:rFonts w:ascii="Calibri" w:hAnsi="Calibri" w:cs="Calibri"/>
          <w:i/>
          <w:iCs/>
        </w:rPr>
        <w:t>Althingi</w:t>
      </w:r>
      <w:r w:rsidRPr="00761CEC">
        <w:rPr>
          <w:rFonts w:ascii="Calibri" w:hAnsi="Calibri" w:cs="Calibri"/>
        </w:rPr>
        <w:t xml:space="preserve">, nes Liberalų reformų partija gavo 1 072 balsus, </w:t>
      </w:r>
      <w:r>
        <w:rPr>
          <w:rFonts w:ascii="Calibri" w:hAnsi="Calibri" w:cs="Calibri"/>
        </w:rPr>
        <w:t>ko</w:t>
      </w:r>
      <w:r w:rsidRPr="00761CEC">
        <w:rPr>
          <w:rFonts w:ascii="Calibri" w:hAnsi="Calibri" w:cs="Calibri"/>
        </w:rPr>
        <w:t xml:space="preserve"> nepakako </w:t>
      </w:r>
      <w:r>
        <w:rPr>
          <w:rFonts w:ascii="Calibri" w:hAnsi="Calibri" w:cs="Calibri"/>
        </w:rPr>
        <w:t>būti išrinktam</w:t>
      </w:r>
      <w:r w:rsidRPr="00761CEC">
        <w:rPr>
          <w:rFonts w:ascii="Calibri" w:hAnsi="Calibri" w:cs="Calibri"/>
        </w:rPr>
        <w:t xml:space="preserve"> </w:t>
      </w:r>
      <w:r>
        <w:rPr>
          <w:rFonts w:ascii="Calibri" w:hAnsi="Calibri" w:cs="Calibri"/>
        </w:rPr>
        <w:t>Š</w:t>
      </w:r>
      <w:r w:rsidRPr="00761CEC">
        <w:rPr>
          <w:rFonts w:ascii="Calibri" w:hAnsi="Calibri" w:cs="Calibri"/>
        </w:rPr>
        <w:t xml:space="preserve">iaurės vakarų rinkimų apygardoje, tačiau </w:t>
      </w:r>
      <w:r>
        <w:rPr>
          <w:rFonts w:ascii="Calibri" w:hAnsi="Calibri" w:cs="Calibri"/>
        </w:rPr>
        <w:t>tai reiškė, kad pareiškėjas turėjo</w:t>
      </w:r>
      <w:r w:rsidRPr="00761CEC">
        <w:rPr>
          <w:rFonts w:ascii="Calibri" w:hAnsi="Calibri" w:cs="Calibri"/>
        </w:rPr>
        <w:t xml:space="preserve"> teisę gauti nacionaliniu </w:t>
      </w:r>
      <w:r>
        <w:rPr>
          <w:rFonts w:ascii="Calibri" w:hAnsi="Calibri" w:cs="Calibri"/>
        </w:rPr>
        <w:t>lygmeniu</w:t>
      </w:r>
      <w:r w:rsidRPr="00761CEC">
        <w:rPr>
          <w:rFonts w:ascii="Calibri" w:hAnsi="Calibri" w:cs="Calibri"/>
        </w:rPr>
        <w:t xml:space="preserve"> </w:t>
      </w:r>
      <w:r>
        <w:rPr>
          <w:rFonts w:ascii="Calibri" w:hAnsi="Calibri" w:cs="Calibri"/>
        </w:rPr>
        <w:t>skiriamą</w:t>
      </w:r>
      <w:r w:rsidRPr="00761CEC">
        <w:rPr>
          <w:rFonts w:ascii="Calibri" w:hAnsi="Calibri" w:cs="Calibri"/>
        </w:rPr>
        <w:t xml:space="preserve"> išlyginamąją </w:t>
      </w:r>
      <w:r>
        <w:rPr>
          <w:rFonts w:ascii="Calibri" w:hAnsi="Calibri" w:cs="Calibri"/>
        </w:rPr>
        <w:t>vietą</w:t>
      </w:r>
      <w:r w:rsidRPr="00761CEC">
        <w:rPr>
          <w:rFonts w:ascii="Calibri" w:hAnsi="Calibri" w:cs="Calibri"/>
        </w:rPr>
        <w:t>. Vėlesnis perskaičiavimas Šiaurės vakarų rinkimų apygardoje lėmė, kad pareiškėjo partija gavo 1</w:t>
      </w:r>
      <w:r>
        <w:rPr>
          <w:rFonts w:ascii="Calibri" w:hAnsi="Calibri" w:cs="Calibri"/>
        </w:rPr>
        <w:t xml:space="preserve"> </w:t>
      </w:r>
      <w:r w:rsidRPr="00761CEC">
        <w:rPr>
          <w:rFonts w:ascii="Calibri" w:hAnsi="Calibri" w:cs="Calibri"/>
        </w:rPr>
        <w:t xml:space="preserve">063 balsus (devyniais balsais mažiau nei per pirmąjį </w:t>
      </w:r>
      <w:r>
        <w:rPr>
          <w:rFonts w:ascii="Calibri" w:hAnsi="Calibri" w:cs="Calibri"/>
        </w:rPr>
        <w:t>skaičiavimą</w:t>
      </w:r>
      <w:r w:rsidRPr="00761CEC">
        <w:rPr>
          <w:rFonts w:ascii="Calibri" w:hAnsi="Calibri" w:cs="Calibri"/>
        </w:rPr>
        <w:t>), todėl jis prarado išlygin</w:t>
      </w:r>
      <w:r>
        <w:rPr>
          <w:rFonts w:ascii="Calibri" w:hAnsi="Calibri" w:cs="Calibri"/>
        </w:rPr>
        <w:t>amąją</w:t>
      </w:r>
      <w:r w:rsidRPr="00761CEC">
        <w:rPr>
          <w:rFonts w:ascii="Calibri" w:hAnsi="Calibri" w:cs="Calibri"/>
        </w:rPr>
        <w:t xml:space="preserve"> vietą</w:t>
      </w:r>
      <w:r>
        <w:rPr>
          <w:rFonts w:ascii="Calibri" w:hAnsi="Calibri" w:cs="Calibri"/>
        </w:rPr>
        <w:t>.</w:t>
      </w:r>
    </w:p>
    <w:p w14:paraId="33A3BD50" w14:textId="77777777" w:rsidR="00D11584" w:rsidRDefault="00D11584" w:rsidP="00D11584">
      <w:pPr>
        <w:spacing w:after="0" w:line="240" w:lineRule="auto"/>
        <w:ind w:right="-1" w:firstLine="567"/>
        <w:jc w:val="both"/>
        <w:rPr>
          <w:rFonts w:ascii="Calibri" w:hAnsi="Calibri" w:cs="Calibri"/>
        </w:rPr>
      </w:pPr>
      <w:r>
        <w:rPr>
          <w:rFonts w:ascii="Calibri" w:hAnsi="Calibri" w:cs="Calibri"/>
        </w:rPr>
        <w:t>Dėl antrojo pareiškėjo</w:t>
      </w:r>
      <w:r w:rsidRPr="007943F0">
        <w:rPr>
          <w:rFonts w:ascii="Calibri" w:hAnsi="Calibri" w:cs="Calibri"/>
        </w:rPr>
        <w:t xml:space="preserve"> Teismas pasteb</w:t>
      </w:r>
      <w:r>
        <w:rPr>
          <w:rFonts w:ascii="Calibri" w:hAnsi="Calibri" w:cs="Calibri"/>
        </w:rPr>
        <w:t>ėjo</w:t>
      </w:r>
      <w:r w:rsidRPr="007943F0">
        <w:rPr>
          <w:rFonts w:ascii="Calibri" w:hAnsi="Calibri" w:cs="Calibri"/>
        </w:rPr>
        <w:t>, kad pagal pradinį balsų sk</w:t>
      </w:r>
      <w:r>
        <w:rPr>
          <w:rFonts w:ascii="Calibri" w:hAnsi="Calibri" w:cs="Calibri"/>
        </w:rPr>
        <w:t>aičiavimą 2021 m. rugsėjo 26 d.</w:t>
      </w:r>
      <w:r w:rsidRPr="007943F0">
        <w:rPr>
          <w:rFonts w:ascii="Calibri" w:hAnsi="Calibri" w:cs="Calibri"/>
        </w:rPr>
        <w:t xml:space="preserve"> jis nebuvo išrinktas į </w:t>
      </w:r>
      <w:r w:rsidRPr="000C3DF7">
        <w:rPr>
          <w:rFonts w:ascii="Calibri" w:hAnsi="Calibri" w:cs="Calibri"/>
          <w:i/>
          <w:iCs/>
        </w:rPr>
        <w:t>Althingi</w:t>
      </w:r>
      <w:r w:rsidRPr="007943F0">
        <w:rPr>
          <w:rFonts w:ascii="Calibri" w:hAnsi="Calibri" w:cs="Calibri"/>
        </w:rPr>
        <w:t xml:space="preserve">, nes Piratų partija gavo </w:t>
      </w:r>
      <w:r>
        <w:rPr>
          <w:rFonts w:ascii="Calibri" w:hAnsi="Calibri" w:cs="Calibri"/>
        </w:rPr>
        <w:t>tiek balsų</w:t>
      </w:r>
      <w:r w:rsidRPr="007943F0">
        <w:rPr>
          <w:rFonts w:ascii="Calibri" w:hAnsi="Calibri" w:cs="Calibri"/>
        </w:rPr>
        <w:t xml:space="preserve">, kurių nepakako </w:t>
      </w:r>
      <w:r>
        <w:rPr>
          <w:rFonts w:ascii="Calibri" w:hAnsi="Calibri" w:cs="Calibri"/>
        </w:rPr>
        <w:t>vietai</w:t>
      </w:r>
      <w:r w:rsidRPr="007943F0">
        <w:rPr>
          <w:rFonts w:ascii="Calibri" w:hAnsi="Calibri" w:cs="Calibri"/>
        </w:rPr>
        <w:t xml:space="preserve"> </w:t>
      </w:r>
      <w:r>
        <w:rPr>
          <w:rFonts w:ascii="Calibri" w:hAnsi="Calibri" w:cs="Calibri"/>
        </w:rPr>
        <w:t>Š</w:t>
      </w:r>
      <w:r w:rsidRPr="007943F0">
        <w:rPr>
          <w:rFonts w:ascii="Calibri" w:hAnsi="Calibri" w:cs="Calibri"/>
        </w:rPr>
        <w:t xml:space="preserve">iaurės vakarų rinkimų apygardoje. Be to, nebuvo įrodinėjama, kad jis </w:t>
      </w:r>
      <w:r>
        <w:rPr>
          <w:rFonts w:ascii="Calibri" w:hAnsi="Calibri" w:cs="Calibri"/>
        </w:rPr>
        <w:t>turėjo gauti</w:t>
      </w:r>
      <w:r w:rsidRPr="007943F0">
        <w:rPr>
          <w:rFonts w:ascii="Calibri" w:hAnsi="Calibri" w:cs="Calibri"/>
        </w:rPr>
        <w:t xml:space="preserve"> išlyginamąją </w:t>
      </w:r>
      <w:r>
        <w:rPr>
          <w:rFonts w:ascii="Calibri" w:hAnsi="Calibri" w:cs="Calibri"/>
        </w:rPr>
        <w:t>vietą</w:t>
      </w:r>
      <w:r w:rsidRPr="007943F0">
        <w:rPr>
          <w:rFonts w:ascii="Calibri" w:hAnsi="Calibri" w:cs="Calibri"/>
        </w:rPr>
        <w:t>. Po perskaičiavimo antrojo pareiškėjo partija gavo vienu balsu mažiau nei pirm</w:t>
      </w:r>
      <w:r>
        <w:rPr>
          <w:rFonts w:ascii="Calibri" w:hAnsi="Calibri" w:cs="Calibri"/>
        </w:rPr>
        <w:t xml:space="preserve">ajame skaičiavime </w:t>
      </w:r>
      <w:r w:rsidRPr="007943F0">
        <w:rPr>
          <w:rFonts w:ascii="Calibri" w:hAnsi="Calibri" w:cs="Calibri"/>
        </w:rPr>
        <w:t xml:space="preserve">ir jo padėtis nepasikeitė. Skunde </w:t>
      </w:r>
      <w:r w:rsidRPr="000C3DF7">
        <w:rPr>
          <w:rFonts w:ascii="Calibri" w:hAnsi="Calibri" w:cs="Calibri"/>
          <w:i/>
          <w:iCs/>
        </w:rPr>
        <w:t>Althingi</w:t>
      </w:r>
      <w:r w:rsidRPr="007943F0">
        <w:rPr>
          <w:rFonts w:ascii="Calibri" w:hAnsi="Calibri" w:cs="Calibri"/>
        </w:rPr>
        <w:t xml:space="preserve">, pateiktame po rinkimų, jis rėmėsi netinkamu biuletenių saugojimu ir tvarkymu nuo pradinio skaičiavimo iki perskaičiavimo ir tuo, kad </w:t>
      </w:r>
      <w:r>
        <w:rPr>
          <w:rFonts w:ascii="Calibri" w:hAnsi="Calibri" w:cs="Calibri"/>
        </w:rPr>
        <w:t>V</w:t>
      </w:r>
      <w:r w:rsidRPr="007943F0">
        <w:rPr>
          <w:rFonts w:ascii="Calibri" w:hAnsi="Calibri" w:cs="Calibri"/>
        </w:rPr>
        <w:t xml:space="preserve">yresnioji rinkimų komisija </w:t>
      </w:r>
      <w:r>
        <w:rPr>
          <w:rFonts w:ascii="Calibri" w:hAnsi="Calibri" w:cs="Calibri"/>
        </w:rPr>
        <w:t>jo</w:t>
      </w:r>
      <w:r w:rsidRPr="007943F0">
        <w:rPr>
          <w:rFonts w:ascii="Calibri" w:hAnsi="Calibri" w:cs="Calibri"/>
        </w:rPr>
        <w:t xml:space="preserve">, kaip jo partijos sąrašo </w:t>
      </w:r>
      <w:r>
        <w:rPr>
          <w:rFonts w:ascii="Calibri" w:hAnsi="Calibri" w:cs="Calibri"/>
        </w:rPr>
        <w:t>atstovo</w:t>
      </w:r>
      <w:r w:rsidRPr="007943F0">
        <w:rPr>
          <w:rFonts w:ascii="Calibri" w:hAnsi="Calibri" w:cs="Calibri"/>
        </w:rPr>
        <w:t>, neinformavo apie perskaičiavimą.</w:t>
      </w:r>
    </w:p>
    <w:p w14:paraId="2BA28659" w14:textId="77777777" w:rsidR="00D11584" w:rsidRDefault="00D11584" w:rsidP="00D11584">
      <w:pPr>
        <w:spacing w:after="0" w:line="240" w:lineRule="auto"/>
        <w:ind w:right="-1" w:firstLine="567"/>
        <w:jc w:val="both"/>
        <w:rPr>
          <w:rFonts w:ascii="Calibri" w:hAnsi="Calibri" w:cs="Calibri"/>
        </w:rPr>
      </w:pPr>
      <w:r>
        <w:rPr>
          <w:rFonts w:ascii="Calibri" w:hAnsi="Calibri" w:cs="Calibri"/>
        </w:rPr>
        <w:t xml:space="preserve">Vertindamas, ar pareiškėjų skundų nagrinėjimas buvo veiksmingas, Teismas pabrėžė, kad </w:t>
      </w:r>
      <w:r w:rsidRPr="00AF2F83">
        <w:rPr>
          <w:rFonts w:ascii="Calibri" w:hAnsi="Calibri" w:cs="Calibri"/>
        </w:rPr>
        <w:t xml:space="preserve">tuo metu, kai Parengiamasis įgaliojimų komitetas atliko tyrimą, Įgaliojimų komitetas pateikė rekomendacijas ir dėl jų balsavo visi </w:t>
      </w:r>
      <w:r w:rsidRPr="000C3DF7">
        <w:rPr>
          <w:rFonts w:ascii="Calibri" w:hAnsi="Calibri" w:cs="Calibri"/>
          <w:i/>
          <w:iCs/>
        </w:rPr>
        <w:t xml:space="preserve">Althingi </w:t>
      </w:r>
      <w:r w:rsidRPr="00AF2F83">
        <w:rPr>
          <w:rFonts w:ascii="Calibri" w:hAnsi="Calibri" w:cs="Calibri"/>
        </w:rPr>
        <w:t xml:space="preserve">rūmai, visus tuos organus sudarė naujai išrinkti parlamento nariai, kurių įgaliojimai nebuvo patvirtinti ir kurie neprisižadėjo būti ištikimi Konstitucijai. Taigi </w:t>
      </w:r>
      <w:r w:rsidRPr="000C3DF7">
        <w:rPr>
          <w:rFonts w:ascii="Calibri" w:hAnsi="Calibri" w:cs="Calibri"/>
          <w:i/>
          <w:iCs/>
        </w:rPr>
        <w:t>Althingi</w:t>
      </w:r>
      <w:r w:rsidRPr="00AF2F83">
        <w:rPr>
          <w:rFonts w:ascii="Calibri" w:hAnsi="Calibri" w:cs="Calibri"/>
        </w:rPr>
        <w:t>, kaip visiškai veikiantis parlamentas, dar turėjo būti sudarytas.</w:t>
      </w:r>
      <w:r>
        <w:rPr>
          <w:rFonts w:ascii="Calibri" w:hAnsi="Calibri" w:cs="Calibri"/>
        </w:rPr>
        <w:t xml:space="preserve"> </w:t>
      </w:r>
      <w:r w:rsidRPr="00AF2F83">
        <w:rPr>
          <w:rFonts w:ascii="Calibri" w:hAnsi="Calibri" w:cs="Calibri"/>
        </w:rPr>
        <w:t xml:space="preserve">Tuo metu nauji parlamentarai, kurie dar </w:t>
      </w:r>
      <w:r>
        <w:rPr>
          <w:rFonts w:ascii="Calibri" w:hAnsi="Calibri" w:cs="Calibri"/>
        </w:rPr>
        <w:t>tik turėjo</w:t>
      </w:r>
      <w:r w:rsidRPr="00AF2F83">
        <w:rPr>
          <w:rFonts w:ascii="Calibri" w:hAnsi="Calibri" w:cs="Calibri"/>
        </w:rPr>
        <w:t xml:space="preserve"> tapti </w:t>
      </w:r>
      <w:r>
        <w:rPr>
          <w:rFonts w:ascii="Calibri" w:hAnsi="Calibri" w:cs="Calibri"/>
        </w:rPr>
        <w:t>visateisiais</w:t>
      </w:r>
      <w:r w:rsidRPr="00AF2F83">
        <w:rPr>
          <w:rFonts w:ascii="Calibri" w:hAnsi="Calibri" w:cs="Calibri"/>
        </w:rPr>
        <w:t xml:space="preserve"> parlamento nariais</w:t>
      </w:r>
      <w:r>
        <w:rPr>
          <w:rFonts w:ascii="Calibri" w:hAnsi="Calibri" w:cs="Calibri"/>
        </w:rPr>
        <w:t xml:space="preserve">, </w:t>
      </w:r>
      <w:r w:rsidRPr="00AF2F83">
        <w:rPr>
          <w:rFonts w:ascii="Calibri" w:hAnsi="Calibri" w:cs="Calibri"/>
        </w:rPr>
        <w:t xml:space="preserve">patys sprendė savo likimą. </w:t>
      </w:r>
    </w:p>
    <w:p w14:paraId="1508C779" w14:textId="64477745" w:rsidR="00D11584" w:rsidRDefault="00D11584" w:rsidP="00D11584">
      <w:pPr>
        <w:spacing w:after="0" w:line="240" w:lineRule="auto"/>
        <w:ind w:right="-1" w:firstLine="567"/>
        <w:jc w:val="both"/>
        <w:rPr>
          <w:rFonts w:ascii="Calibri" w:hAnsi="Calibri" w:cs="Calibri"/>
        </w:rPr>
      </w:pPr>
      <w:r>
        <w:rPr>
          <w:rFonts w:ascii="Calibri" w:hAnsi="Calibri" w:cs="Calibri"/>
        </w:rPr>
        <w:t xml:space="preserve">Pasisakydamas dėl sprendimus priimančio organo nešališkumo, Teismas nurodė, kad </w:t>
      </w:r>
      <w:r w:rsidRPr="001C4731">
        <w:rPr>
          <w:rFonts w:ascii="Calibri" w:hAnsi="Calibri" w:cs="Calibri"/>
        </w:rPr>
        <w:t>Protokolo</w:t>
      </w:r>
      <w:r>
        <w:rPr>
          <w:rFonts w:ascii="Calibri" w:hAnsi="Calibri" w:cs="Calibri"/>
        </w:rPr>
        <w:t xml:space="preserve"> Nr. 1</w:t>
      </w:r>
      <w:r w:rsidR="00E158C2">
        <w:rPr>
          <w:rFonts w:ascii="Calibri" w:hAnsi="Calibri" w:cs="Calibri"/>
        </w:rPr>
        <w:t xml:space="preserve"> </w:t>
      </w:r>
      <w:r w:rsidRPr="001C4731">
        <w:rPr>
          <w:rFonts w:ascii="Calibri" w:hAnsi="Calibri" w:cs="Calibri"/>
        </w:rPr>
        <w:t>3</w:t>
      </w:r>
      <w:r>
        <w:rPr>
          <w:rFonts w:ascii="Calibri" w:hAnsi="Calibri" w:cs="Calibri"/>
        </w:rPr>
        <w:t> </w:t>
      </w:r>
      <w:r w:rsidRPr="001C4731">
        <w:rPr>
          <w:rFonts w:ascii="Calibri" w:hAnsi="Calibri" w:cs="Calibri"/>
        </w:rPr>
        <w:t>straipsnyje užtikrinamos teisės į laisvus rinkimus kontekste reikiamos nešališkumo garantijos yra skirtos užtikrinti, kad priimtas sprendimas būtų pagrįstas tik faktiniais ir teisiniais, o ne politiniais sumetimais. Skundo dėl rinkimų rezultatų nagrinėjimas neturi tapti forumu politinei kovai tarp skirtingų partijų</w:t>
      </w:r>
      <w:r>
        <w:rPr>
          <w:rFonts w:ascii="Calibri" w:hAnsi="Calibri" w:cs="Calibri"/>
        </w:rPr>
        <w:t xml:space="preserve">. Todėl </w:t>
      </w:r>
      <w:r w:rsidRPr="001C4731">
        <w:rPr>
          <w:rFonts w:ascii="Calibri" w:hAnsi="Calibri" w:cs="Calibri"/>
        </w:rPr>
        <w:t xml:space="preserve">tokiose </w:t>
      </w:r>
      <w:r w:rsidRPr="001C4731">
        <w:rPr>
          <w:rFonts w:ascii="Calibri" w:hAnsi="Calibri" w:cs="Calibri"/>
        </w:rPr>
        <w:lastRenderedPageBreak/>
        <w:t xml:space="preserve">situacijose kaip ši, kai </w:t>
      </w:r>
      <w:r>
        <w:rPr>
          <w:rFonts w:ascii="Calibri" w:hAnsi="Calibri" w:cs="Calibri"/>
        </w:rPr>
        <w:t>p</w:t>
      </w:r>
      <w:r w:rsidRPr="001C4731">
        <w:rPr>
          <w:rFonts w:ascii="Calibri" w:hAnsi="Calibri" w:cs="Calibri"/>
        </w:rPr>
        <w:t>arlamentas pats priima sprendimą dėl savo narių rinkimų teisėtumo ir nepriklausoma institucija vėliau neperžiūri</w:t>
      </w:r>
      <w:r>
        <w:rPr>
          <w:rFonts w:ascii="Calibri" w:hAnsi="Calibri" w:cs="Calibri"/>
        </w:rPr>
        <w:t xml:space="preserve"> tokio sprendimo</w:t>
      </w:r>
      <w:r w:rsidRPr="001C4731">
        <w:rPr>
          <w:rFonts w:ascii="Calibri" w:hAnsi="Calibri" w:cs="Calibri"/>
        </w:rPr>
        <w:t>, ypatingas dėmesys turi būti skiriamas</w:t>
      </w:r>
      <w:r>
        <w:rPr>
          <w:rFonts w:ascii="Calibri" w:hAnsi="Calibri" w:cs="Calibri"/>
        </w:rPr>
        <w:t xml:space="preserve"> nacionalinėje teisėje</w:t>
      </w:r>
      <w:r w:rsidRPr="001C4731">
        <w:rPr>
          <w:rFonts w:ascii="Calibri" w:hAnsi="Calibri" w:cs="Calibri"/>
        </w:rPr>
        <w:t xml:space="preserve"> nustatytoms nešališkumo garantijoms</w:t>
      </w:r>
      <w:r>
        <w:rPr>
          <w:rFonts w:ascii="Calibri" w:hAnsi="Calibri" w:cs="Calibri"/>
        </w:rPr>
        <w:t xml:space="preserve">, kiek tai susiję su </w:t>
      </w:r>
      <w:r w:rsidRPr="001C4731">
        <w:rPr>
          <w:rFonts w:ascii="Calibri" w:hAnsi="Calibri" w:cs="Calibri"/>
        </w:rPr>
        <w:t>rinkimų rezultatų nuginčijimo nagrinėjimo tvark</w:t>
      </w:r>
      <w:r>
        <w:rPr>
          <w:rFonts w:ascii="Calibri" w:hAnsi="Calibri" w:cs="Calibri"/>
        </w:rPr>
        <w:t>a</w:t>
      </w:r>
      <w:r w:rsidRPr="001C4731">
        <w:rPr>
          <w:rFonts w:ascii="Calibri" w:hAnsi="Calibri" w:cs="Calibri"/>
        </w:rPr>
        <w:t>.</w:t>
      </w:r>
    </w:p>
    <w:p w14:paraId="0CD916D8" w14:textId="77777777" w:rsidR="00D11584" w:rsidRDefault="00D11584" w:rsidP="00D11584">
      <w:pPr>
        <w:tabs>
          <w:tab w:val="left" w:pos="1029"/>
        </w:tabs>
        <w:spacing w:after="0" w:line="240" w:lineRule="auto"/>
        <w:ind w:right="-1" w:firstLine="567"/>
        <w:jc w:val="both"/>
        <w:rPr>
          <w:rFonts w:ascii="Calibri" w:hAnsi="Calibri" w:cs="Calibri"/>
        </w:rPr>
      </w:pPr>
      <w:r w:rsidRPr="00B71F80">
        <w:rPr>
          <w:rFonts w:ascii="Calibri" w:hAnsi="Calibri" w:cs="Calibri"/>
        </w:rPr>
        <w:t>Teismas pasteb</w:t>
      </w:r>
      <w:r>
        <w:rPr>
          <w:rFonts w:ascii="Calibri" w:hAnsi="Calibri" w:cs="Calibri"/>
        </w:rPr>
        <w:t>ėjo</w:t>
      </w:r>
      <w:r w:rsidRPr="00B71F80">
        <w:rPr>
          <w:rFonts w:ascii="Calibri" w:hAnsi="Calibri" w:cs="Calibri"/>
        </w:rPr>
        <w:t xml:space="preserve">, kad pareiškėjų skundų tyrimas, skundų nagrinėjimas ir rekomendacijų </w:t>
      </w:r>
      <w:r w:rsidRPr="000C3DF7">
        <w:rPr>
          <w:rFonts w:ascii="Calibri" w:hAnsi="Calibri" w:cs="Calibri"/>
          <w:i/>
          <w:iCs/>
        </w:rPr>
        <w:t>Althingi</w:t>
      </w:r>
      <w:r w:rsidRPr="000C3DF7">
        <w:rPr>
          <w:rFonts w:ascii="Calibri" w:hAnsi="Calibri" w:cs="Calibri"/>
        </w:rPr>
        <w:t xml:space="preserve"> </w:t>
      </w:r>
      <w:r w:rsidRPr="00B71F80">
        <w:rPr>
          <w:rFonts w:ascii="Calibri" w:hAnsi="Calibri" w:cs="Calibri"/>
        </w:rPr>
        <w:t xml:space="preserve">formulavimas buvo patikėtas Parengiamųjų įgaliojimų komitetui ir Įgaliojimų komitetui, kuriuos sudarė </w:t>
      </w:r>
      <w:r>
        <w:rPr>
          <w:rFonts w:ascii="Calibri" w:hAnsi="Calibri" w:cs="Calibri"/>
        </w:rPr>
        <w:t>tie patys</w:t>
      </w:r>
      <w:r w:rsidRPr="00B71F80">
        <w:rPr>
          <w:rFonts w:ascii="Calibri" w:hAnsi="Calibri" w:cs="Calibri"/>
        </w:rPr>
        <w:t xml:space="preserve"> devyni nari</w:t>
      </w:r>
      <w:r>
        <w:rPr>
          <w:rFonts w:ascii="Calibri" w:hAnsi="Calibri" w:cs="Calibri"/>
        </w:rPr>
        <w:t>ai</w:t>
      </w:r>
      <w:r w:rsidRPr="00B71F80">
        <w:rPr>
          <w:rFonts w:ascii="Calibri" w:hAnsi="Calibri" w:cs="Calibri"/>
        </w:rPr>
        <w:t xml:space="preserve"> ir d</w:t>
      </w:r>
      <w:r>
        <w:rPr>
          <w:rFonts w:ascii="Calibri" w:hAnsi="Calibri" w:cs="Calibri"/>
        </w:rPr>
        <w:t>u</w:t>
      </w:r>
      <w:r w:rsidRPr="00B71F80">
        <w:rPr>
          <w:rFonts w:ascii="Calibri" w:hAnsi="Calibri" w:cs="Calibri"/>
        </w:rPr>
        <w:t xml:space="preserve"> stebėtoj</w:t>
      </w:r>
      <w:r>
        <w:rPr>
          <w:rFonts w:ascii="Calibri" w:hAnsi="Calibri" w:cs="Calibri"/>
        </w:rPr>
        <w:t>ai</w:t>
      </w:r>
      <w:r w:rsidRPr="00B71F80">
        <w:rPr>
          <w:rFonts w:ascii="Calibri" w:hAnsi="Calibri" w:cs="Calibri"/>
        </w:rPr>
        <w:t xml:space="preserve">. </w:t>
      </w:r>
      <w:r>
        <w:rPr>
          <w:rFonts w:ascii="Calibri" w:hAnsi="Calibri" w:cs="Calibri"/>
        </w:rPr>
        <w:t>K</w:t>
      </w:r>
      <w:r w:rsidRPr="00B71F80">
        <w:rPr>
          <w:rFonts w:ascii="Calibri" w:hAnsi="Calibri" w:cs="Calibri"/>
        </w:rPr>
        <w:t>omitetų nar</w:t>
      </w:r>
      <w:r>
        <w:rPr>
          <w:rFonts w:ascii="Calibri" w:hAnsi="Calibri" w:cs="Calibri"/>
        </w:rPr>
        <w:t xml:space="preserve">iai nebuvo išrinkti burtų keliu, jie </w:t>
      </w:r>
      <w:r w:rsidRPr="00B71F80">
        <w:rPr>
          <w:rFonts w:ascii="Calibri" w:hAnsi="Calibri" w:cs="Calibri"/>
        </w:rPr>
        <w:t xml:space="preserve">buvo išrinkti naujų parlamento narių </w:t>
      </w:r>
      <w:r>
        <w:rPr>
          <w:rFonts w:ascii="Calibri" w:hAnsi="Calibri" w:cs="Calibri"/>
        </w:rPr>
        <w:t>pagal</w:t>
      </w:r>
      <w:r w:rsidRPr="00B71F80">
        <w:rPr>
          <w:rFonts w:ascii="Calibri" w:hAnsi="Calibri" w:cs="Calibri"/>
        </w:rPr>
        <w:t xml:space="preserve"> tvark</w:t>
      </w:r>
      <w:r>
        <w:rPr>
          <w:rFonts w:ascii="Calibri" w:hAnsi="Calibri" w:cs="Calibri"/>
        </w:rPr>
        <w:t>ą</w:t>
      </w:r>
      <w:r w:rsidRPr="00B71F80">
        <w:rPr>
          <w:rFonts w:ascii="Calibri" w:hAnsi="Calibri" w:cs="Calibri"/>
        </w:rPr>
        <w:t>, kuri konkrečiai užtikrino, kad didesnės frakcijos turėtų atstovus, o mažiausios frakcijos (neturinčios narių komitetuose) turėtų stebėtojų statusą. Nė vienas komiteto narys nebuvo išrinktas iš Šiaurės vakarų</w:t>
      </w:r>
      <w:r>
        <w:rPr>
          <w:rFonts w:ascii="Calibri" w:hAnsi="Calibri" w:cs="Calibri"/>
        </w:rPr>
        <w:t xml:space="preserve"> rinkimų</w:t>
      </w:r>
      <w:r w:rsidRPr="00B71F80">
        <w:rPr>
          <w:rFonts w:ascii="Calibri" w:hAnsi="Calibri" w:cs="Calibri"/>
        </w:rPr>
        <w:t xml:space="preserve"> apygardos arba </w:t>
      </w:r>
      <w:r>
        <w:rPr>
          <w:rFonts w:ascii="Calibri" w:hAnsi="Calibri" w:cs="Calibri"/>
        </w:rPr>
        <w:t>nacionaliniu lygiu gavęs</w:t>
      </w:r>
      <w:r w:rsidRPr="00B71F80">
        <w:rPr>
          <w:rFonts w:ascii="Calibri" w:hAnsi="Calibri" w:cs="Calibri"/>
        </w:rPr>
        <w:t xml:space="preserve"> </w:t>
      </w:r>
      <w:r>
        <w:rPr>
          <w:rFonts w:ascii="Calibri" w:hAnsi="Calibri" w:cs="Calibri"/>
        </w:rPr>
        <w:t>išlyginamąją vietą</w:t>
      </w:r>
      <w:r w:rsidRPr="00B71F80">
        <w:rPr>
          <w:rFonts w:ascii="Calibri" w:hAnsi="Calibri" w:cs="Calibri"/>
        </w:rPr>
        <w:t>. Kartu Teismas pažym</w:t>
      </w:r>
      <w:r>
        <w:rPr>
          <w:rFonts w:ascii="Calibri" w:hAnsi="Calibri" w:cs="Calibri"/>
        </w:rPr>
        <w:t>ėjo</w:t>
      </w:r>
      <w:r w:rsidRPr="00B71F80">
        <w:rPr>
          <w:rFonts w:ascii="Calibri" w:hAnsi="Calibri" w:cs="Calibri"/>
        </w:rPr>
        <w:t xml:space="preserve">, kad tyrimo metu komitetų narių įgaliojimai rinkimuose dar nebuvo patvirtinti, o Parengiamąjį įgaliojimų komitetą sušaukė </w:t>
      </w:r>
      <w:r>
        <w:rPr>
          <w:rFonts w:ascii="Calibri" w:hAnsi="Calibri" w:cs="Calibri"/>
        </w:rPr>
        <w:t xml:space="preserve">asmuo, </w:t>
      </w:r>
      <w:r w:rsidRPr="00B71F80">
        <w:rPr>
          <w:rFonts w:ascii="Calibri" w:hAnsi="Calibri" w:cs="Calibri"/>
        </w:rPr>
        <w:t xml:space="preserve">laikinai einantis </w:t>
      </w:r>
      <w:r w:rsidRPr="000C3DF7">
        <w:rPr>
          <w:rFonts w:ascii="Calibri" w:hAnsi="Calibri" w:cs="Calibri"/>
          <w:i/>
          <w:iCs/>
        </w:rPr>
        <w:t xml:space="preserve">Althingi </w:t>
      </w:r>
      <w:r w:rsidRPr="00B71F80">
        <w:rPr>
          <w:rFonts w:ascii="Calibri" w:hAnsi="Calibri" w:cs="Calibri"/>
        </w:rPr>
        <w:t>pirmininko pareigas. Teismas taip pat pažym</w:t>
      </w:r>
      <w:r>
        <w:rPr>
          <w:rFonts w:ascii="Calibri" w:hAnsi="Calibri" w:cs="Calibri"/>
        </w:rPr>
        <w:t>ėjo</w:t>
      </w:r>
      <w:r w:rsidRPr="00B71F80">
        <w:rPr>
          <w:rFonts w:ascii="Calibri" w:hAnsi="Calibri" w:cs="Calibri"/>
        </w:rPr>
        <w:t xml:space="preserve">, kad </w:t>
      </w:r>
      <w:r>
        <w:rPr>
          <w:rFonts w:ascii="Calibri" w:hAnsi="Calibri" w:cs="Calibri"/>
        </w:rPr>
        <w:t>Pa</w:t>
      </w:r>
      <w:r w:rsidRPr="00B71F80">
        <w:rPr>
          <w:rFonts w:ascii="Calibri" w:hAnsi="Calibri" w:cs="Calibri"/>
        </w:rPr>
        <w:t>rengiam</w:t>
      </w:r>
      <w:r>
        <w:rPr>
          <w:rFonts w:ascii="Calibri" w:hAnsi="Calibri" w:cs="Calibri"/>
        </w:rPr>
        <w:t>ųjų</w:t>
      </w:r>
      <w:r w:rsidRPr="00B71F80">
        <w:rPr>
          <w:rFonts w:ascii="Calibri" w:hAnsi="Calibri" w:cs="Calibri"/>
        </w:rPr>
        <w:t xml:space="preserve"> įgaliojimų komiteto priimtose </w:t>
      </w:r>
      <w:r>
        <w:rPr>
          <w:rFonts w:ascii="Calibri" w:hAnsi="Calibri" w:cs="Calibri"/>
        </w:rPr>
        <w:t>d</w:t>
      </w:r>
      <w:r w:rsidRPr="00B71F80">
        <w:rPr>
          <w:rFonts w:ascii="Calibri" w:hAnsi="Calibri" w:cs="Calibri"/>
        </w:rPr>
        <w:t>arbo tvarkos taisyklėse nebuvo joki</w:t>
      </w:r>
      <w:r>
        <w:rPr>
          <w:rFonts w:ascii="Calibri" w:hAnsi="Calibri" w:cs="Calibri"/>
        </w:rPr>
        <w:t>ų</w:t>
      </w:r>
      <w:r w:rsidRPr="00B71F80">
        <w:rPr>
          <w:rFonts w:ascii="Calibri" w:hAnsi="Calibri" w:cs="Calibri"/>
        </w:rPr>
        <w:t xml:space="preserve"> nuostat</w:t>
      </w:r>
      <w:r>
        <w:rPr>
          <w:rFonts w:ascii="Calibri" w:hAnsi="Calibri" w:cs="Calibri"/>
        </w:rPr>
        <w:t>ų</w:t>
      </w:r>
      <w:r w:rsidRPr="00B71F80">
        <w:rPr>
          <w:rFonts w:ascii="Calibri" w:hAnsi="Calibri" w:cs="Calibri"/>
        </w:rPr>
        <w:t>, numatanči</w:t>
      </w:r>
      <w:r>
        <w:rPr>
          <w:rFonts w:ascii="Calibri" w:hAnsi="Calibri" w:cs="Calibri"/>
        </w:rPr>
        <w:t>ų</w:t>
      </w:r>
      <w:r w:rsidRPr="00B71F80">
        <w:rPr>
          <w:rFonts w:ascii="Calibri" w:hAnsi="Calibri" w:cs="Calibri"/>
        </w:rPr>
        <w:t xml:space="preserve"> komiteto narių atšaukimą</w:t>
      </w:r>
      <w:r>
        <w:rPr>
          <w:rFonts w:ascii="Calibri" w:hAnsi="Calibri" w:cs="Calibri"/>
        </w:rPr>
        <w:t>,</w:t>
      </w:r>
      <w:r w:rsidRPr="00B71F80">
        <w:rPr>
          <w:rFonts w:ascii="Calibri" w:hAnsi="Calibri" w:cs="Calibri"/>
        </w:rPr>
        <w:t xml:space="preserve"> kilus interesų konfliktui arba dėl panašių priežasčių.</w:t>
      </w:r>
    </w:p>
    <w:p w14:paraId="7F4E248C" w14:textId="77777777" w:rsidR="00D11584" w:rsidRDefault="00D11584" w:rsidP="00D11584">
      <w:pPr>
        <w:tabs>
          <w:tab w:val="left" w:pos="1029"/>
        </w:tabs>
        <w:spacing w:after="0" w:line="240" w:lineRule="auto"/>
        <w:ind w:right="-1" w:firstLine="567"/>
        <w:jc w:val="both"/>
        <w:rPr>
          <w:rFonts w:ascii="Calibri" w:hAnsi="Calibri" w:cs="Calibri"/>
        </w:rPr>
      </w:pPr>
      <w:r>
        <w:rPr>
          <w:rFonts w:ascii="Calibri" w:hAnsi="Calibri" w:cs="Calibri"/>
        </w:rPr>
        <w:t xml:space="preserve">Visų naujai išrinktų parlamento narių, įskaitant ir išrinktus Šiaurės vakarų rinkimų apygardoje, įgaliojimus patvirtino visi </w:t>
      </w:r>
      <w:r w:rsidRPr="000C3DF7">
        <w:rPr>
          <w:rFonts w:ascii="Calibri" w:hAnsi="Calibri" w:cs="Calibri"/>
          <w:i/>
          <w:iCs/>
        </w:rPr>
        <w:t xml:space="preserve">Althingi </w:t>
      </w:r>
      <w:r>
        <w:rPr>
          <w:rFonts w:ascii="Calibri" w:hAnsi="Calibri" w:cs="Calibri"/>
        </w:rPr>
        <w:t xml:space="preserve">rūmai. Teismas pažymėjo, kad akivaizdu, jog per balsavimą </w:t>
      </w:r>
      <w:r w:rsidRPr="000C3DF7">
        <w:rPr>
          <w:rFonts w:ascii="Calibri" w:hAnsi="Calibri" w:cs="Calibri"/>
          <w:i/>
          <w:iCs/>
        </w:rPr>
        <w:t xml:space="preserve">Althingi </w:t>
      </w:r>
      <w:r>
        <w:rPr>
          <w:rFonts w:ascii="Calibri" w:hAnsi="Calibri" w:cs="Calibri"/>
        </w:rPr>
        <w:t>rūmuose nemaža dalis parlamento narių buvo tiesiogiai paveikti ir iš esmės sprendė savo likimą.</w:t>
      </w:r>
    </w:p>
    <w:p w14:paraId="73DD0505" w14:textId="77777777" w:rsidR="00D11584" w:rsidRDefault="00D11584" w:rsidP="00D11584">
      <w:pPr>
        <w:tabs>
          <w:tab w:val="left" w:pos="1029"/>
        </w:tabs>
        <w:spacing w:after="0" w:line="240" w:lineRule="auto"/>
        <w:ind w:right="-1" w:firstLine="567"/>
        <w:jc w:val="both"/>
        <w:rPr>
          <w:rFonts w:ascii="Calibri" w:hAnsi="Calibri" w:cs="Calibri"/>
        </w:rPr>
      </w:pPr>
      <w:r>
        <w:rPr>
          <w:rFonts w:ascii="Calibri" w:hAnsi="Calibri" w:cs="Calibri"/>
        </w:rPr>
        <w:t>T</w:t>
      </w:r>
      <w:r w:rsidRPr="00FB42E6">
        <w:rPr>
          <w:rFonts w:ascii="Calibri" w:hAnsi="Calibri" w:cs="Calibri"/>
        </w:rPr>
        <w:t xml:space="preserve">eismo nuomone, </w:t>
      </w:r>
      <w:r w:rsidRPr="000C3DF7">
        <w:rPr>
          <w:rFonts w:ascii="Calibri" w:hAnsi="Calibri" w:cs="Calibri"/>
          <w:i/>
          <w:iCs/>
        </w:rPr>
        <w:t xml:space="preserve">Althingi </w:t>
      </w:r>
      <w:r>
        <w:rPr>
          <w:rFonts w:ascii="Calibri" w:hAnsi="Calibri" w:cs="Calibri"/>
        </w:rPr>
        <w:t>procesas</w:t>
      </w:r>
      <w:r w:rsidRPr="00FB42E6">
        <w:rPr>
          <w:rFonts w:ascii="Calibri" w:hAnsi="Calibri" w:cs="Calibri"/>
        </w:rPr>
        <w:t>, susij</w:t>
      </w:r>
      <w:r>
        <w:rPr>
          <w:rFonts w:ascii="Calibri" w:hAnsi="Calibri" w:cs="Calibri"/>
        </w:rPr>
        <w:t>ęs</w:t>
      </w:r>
      <w:r w:rsidRPr="00FB42E6">
        <w:rPr>
          <w:rFonts w:ascii="Calibri" w:hAnsi="Calibri" w:cs="Calibri"/>
        </w:rPr>
        <w:t xml:space="preserve"> su pareiškėjų skundais, galėjo sukelti rimt</w:t>
      </w:r>
      <w:r>
        <w:rPr>
          <w:rFonts w:ascii="Calibri" w:hAnsi="Calibri" w:cs="Calibri"/>
        </w:rPr>
        <w:t>ą</w:t>
      </w:r>
      <w:r w:rsidRPr="00FB42E6">
        <w:rPr>
          <w:rFonts w:ascii="Calibri" w:hAnsi="Calibri" w:cs="Calibri"/>
        </w:rPr>
        <w:t xml:space="preserve"> susirūpinimą dėl nešališkumo. </w:t>
      </w:r>
      <w:r>
        <w:rPr>
          <w:rFonts w:ascii="Calibri" w:hAnsi="Calibri" w:cs="Calibri"/>
        </w:rPr>
        <w:t>Tokia išvada padaryta įvertinus tai</w:t>
      </w:r>
      <w:r w:rsidRPr="00FB42E6">
        <w:rPr>
          <w:rFonts w:ascii="Calibri" w:hAnsi="Calibri" w:cs="Calibri"/>
        </w:rPr>
        <w:t xml:space="preserve">, kad </w:t>
      </w:r>
      <w:r w:rsidRPr="00DB3F4B">
        <w:rPr>
          <w:rFonts w:ascii="Calibri" w:hAnsi="Calibri" w:cs="Calibri"/>
          <w:u w:val="single"/>
        </w:rPr>
        <w:t>niekas teisinio reguliavimo sistemoje netrukdė naujiems parlamentarams, išrinktiems į Šiaurės vakarų rinkimų apygardos vietas ir visos šalies išlyginamąsias vietas, dalyvauti sprendimų, susijusių su pareiškėjų skundais, priėmimo procese</w:t>
      </w:r>
      <w:r w:rsidRPr="00FB42E6">
        <w:rPr>
          <w:rFonts w:ascii="Calibri" w:hAnsi="Calibri" w:cs="Calibri"/>
        </w:rPr>
        <w:t xml:space="preserve">. </w:t>
      </w:r>
      <w:r>
        <w:rPr>
          <w:rFonts w:ascii="Calibri" w:hAnsi="Calibri" w:cs="Calibri"/>
        </w:rPr>
        <w:t>V</w:t>
      </w:r>
      <w:r w:rsidRPr="00FB42E6">
        <w:rPr>
          <w:rFonts w:ascii="Calibri" w:hAnsi="Calibri" w:cs="Calibri"/>
        </w:rPr>
        <w:t>isi parlamentarai, išrinkti</w:t>
      </w:r>
      <w:r>
        <w:rPr>
          <w:rFonts w:ascii="Calibri" w:hAnsi="Calibri" w:cs="Calibri"/>
        </w:rPr>
        <w:t xml:space="preserve"> Š</w:t>
      </w:r>
      <w:r w:rsidRPr="00FB42E6">
        <w:rPr>
          <w:rFonts w:ascii="Calibri" w:hAnsi="Calibri" w:cs="Calibri"/>
        </w:rPr>
        <w:t>iaurės vakarų rinkimų apygard</w:t>
      </w:r>
      <w:r>
        <w:rPr>
          <w:rFonts w:ascii="Calibri" w:hAnsi="Calibri" w:cs="Calibri"/>
        </w:rPr>
        <w:t>oje</w:t>
      </w:r>
      <w:r w:rsidRPr="00FB42E6">
        <w:rPr>
          <w:rFonts w:ascii="Calibri" w:hAnsi="Calibri" w:cs="Calibri"/>
        </w:rPr>
        <w:t xml:space="preserve">, ir kandidatas, išrinktas į </w:t>
      </w:r>
      <w:r>
        <w:rPr>
          <w:rFonts w:ascii="Calibri" w:hAnsi="Calibri" w:cs="Calibri"/>
        </w:rPr>
        <w:t>išlyginamąją</w:t>
      </w:r>
      <w:r w:rsidRPr="00FB42E6">
        <w:rPr>
          <w:rFonts w:ascii="Calibri" w:hAnsi="Calibri" w:cs="Calibri"/>
        </w:rPr>
        <w:t xml:space="preserve"> vietą, </w:t>
      </w:r>
      <w:r>
        <w:rPr>
          <w:rFonts w:ascii="Calibri" w:hAnsi="Calibri" w:cs="Calibri"/>
        </w:rPr>
        <w:t>išskyrus pirmąjį pareiškėją</w:t>
      </w:r>
      <w:r w:rsidRPr="00FB42E6">
        <w:rPr>
          <w:rFonts w:ascii="Calibri" w:hAnsi="Calibri" w:cs="Calibri"/>
        </w:rPr>
        <w:t xml:space="preserve">, balsavo už įgaliojimų patvirtinimą ir dėl to pareiškėjų </w:t>
      </w:r>
      <w:r>
        <w:rPr>
          <w:rFonts w:ascii="Calibri" w:hAnsi="Calibri" w:cs="Calibri"/>
        </w:rPr>
        <w:t>skundo</w:t>
      </w:r>
      <w:r w:rsidRPr="00FB42E6">
        <w:rPr>
          <w:rFonts w:ascii="Calibri" w:hAnsi="Calibri" w:cs="Calibri"/>
        </w:rPr>
        <w:t xml:space="preserve"> atmetimą. Jei pareiškėj</w:t>
      </w:r>
      <w:r>
        <w:rPr>
          <w:rFonts w:ascii="Calibri" w:hAnsi="Calibri" w:cs="Calibri"/>
        </w:rPr>
        <w:t>ų skundai</w:t>
      </w:r>
      <w:r w:rsidRPr="00FB42E6">
        <w:rPr>
          <w:rFonts w:ascii="Calibri" w:hAnsi="Calibri" w:cs="Calibri"/>
        </w:rPr>
        <w:t xml:space="preserve"> būtų tenkinti, minėti parlamentarai būtų susidūrę su nauj</w:t>
      </w:r>
      <w:r>
        <w:rPr>
          <w:rFonts w:ascii="Calibri" w:hAnsi="Calibri" w:cs="Calibri"/>
        </w:rPr>
        <w:t>u</w:t>
      </w:r>
      <w:r w:rsidRPr="00FB42E6">
        <w:rPr>
          <w:rFonts w:ascii="Calibri" w:hAnsi="Calibri" w:cs="Calibri"/>
        </w:rPr>
        <w:t xml:space="preserve"> rinkimų turu</w:t>
      </w:r>
      <w:r>
        <w:rPr>
          <w:rFonts w:ascii="Calibri" w:hAnsi="Calibri" w:cs="Calibri"/>
        </w:rPr>
        <w:t xml:space="preserve"> rinkimų</w:t>
      </w:r>
      <w:r w:rsidRPr="00FB42E6">
        <w:rPr>
          <w:rFonts w:ascii="Calibri" w:hAnsi="Calibri" w:cs="Calibri"/>
        </w:rPr>
        <w:t xml:space="preserve"> apygardoje ir galimu balsavimo rezultatų pasikeitimu. Islandijos įstatymai</w:t>
      </w:r>
      <w:r>
        <w:rPr>
          <w:rFonts w:ascii="Calibri" w:hAnsi="Calibri" w:cs="Calibri"/>
        </w:rPr>
        <w:t xml:space="preserve"> </w:t>
      </w:r>
      <w:r w:rsidRPr="00FB42E6">
        <w:rPr>
          <w:rFonts w:ascii="Calibri" w:hAnsi="Calibri" w:cs="Calibri"/>
        </w:rPr>
        <w:t>nereikal</w:t>
      </w:r>
      <w:r>
        <w:rPr>
          <w:rFonts w:ascii="Calibri" w:hAnsi="Calibri" w:cs="Calibri"/>
        </w:rPr>
        <w:t>avo</w:t>
      </w:r>
      <w:r w:rsidRPr="00FB42E6">
        <w:rPr>
          <w:rFonts w:ascii="Calibri" w:hAnsi="Calibri" w:cs="Calibri"/>
        </w:rPr>
        <w:t>, kad parlamentar</w:t>
      </w:r>
      <w:r>
        <w:rPr>
          <w:rFonts w:ascii="Calibri" w:hAnsi="Calibri" w:cs="Calibri"/>
        </w:rPr>
        <w:t>ai</w:t>
      </w:r>
      <w:r w:rsidRPr="00FB42E6">
        <w:rPr>
          <w:rFonts w:ascii="Calibri" w:hAnsi="Calibri" w:cs="Calibri"/>
        </w:rPr>
        <w:t xml:space="preserve">, kurie tiesiogiai susiję su jų balsavimo rezultatais, </w:t>
      </w:r>
      <w:r>
        <w:rPr>
          <w:rFonts w:ascii="Calibri" w:hAnsi="Calibri" w:cs="Calibri"/>
        </w:rPr>
        <w:t>nedalyvautų tokiame procese</w:t>
      </w:r>
      <w:r w:rsidRPr="00FB42E6">
        <w:rPr>
          <w:rFonts w:ascii="Calibri" w:hAnsi="Calibri" w:cs="Calibri"/>
        </w:rPr>
        <w:t>,</w:t>
      </w:r>
      <w:r>
        <w:rPr>
          <w:rFonts w:ascii="Calibri" w:hAnsi="Calibri" w:cs="Calibri"/>
        </w:rPr>
        <w:t xml:space="preserve"> kitaip tariant, </w:t>
      </w:r>
      <w:r w:rsidRPr="00DB3F4B">
        <w:rPr>
          <w:rFonts w:ascii="Calibri" w:hAnsi="Calibri" w:cs="Calibri"/>
          <w:u w:val="single"/>
        </w:rPr>
        <w:t>nebuvo priemonių, galinčių užkirsti kelią galimam šališkumui ar vėlesnės nepriklausomos institucijos atliekamos parlamento sprendimo peržiūros</w:t>
      </w:r>
      <w:r>
        <w:rPr>
          <w:rFonts w:ascii="Calibri" w:hAnsi="Calibri" w:cs="Calibri"/>
        </w:rPr>
        <w:t>.</w:t>
      </w:r>
    </w:p>
    <w:p w14:paraId="01167BE5" w14:textId="77777777" w:rsidR="00D11584" w:rsidRDefault="00D11584" w:rsidP="00D11584">
      <w:pPr>
        <w:tabs>
          <w:tab w:val="left" w:pos="1029"/>
        </w:tabs>
        <w:spacing w:after="0" w:line="240" w:lineRule="auto"/>
        <w:ind w:right="-1" w:firstLine="567"/>
        <w:jc w:val="both"/>
        <w:rPr>
          <w:rFonts w:ascii="Calibri" w:hAnsi="Calibri" w:cs="Calibri"/>
        </w:rPr>
      </w:pPr>
      <w:r w:rsidRPr="006C64DE">
        <w:rPr>
          <w:rFonts w:ascii="Calibri" w:hAnsi="Calibri" w:cs="Calibri"/>
          <w:u w:val="single"/>
        </w:rPr>
        <w:t xml:space="preserve">Nesant tinkamų institucinių ir procedūrinių apsaugos priemonių nuo politinių ir partinių </w:t>
      </w:r>
      <w:r w:rsidRPr="000C3DF7">
        <w:rPr>
          <w:rFonts w:ascii="Calibri" w:hAnsi="Calibri" w:cs="Calibri"/>
          <w:i/>
          <w:iCs/>
          <w:u w:val="single"/>
        </w:rPr>
        <w:t xml:space="preserve">Althingi </w:t>
      </w:r>
      <w:r w:rsidRPr="006C64DE">
        <w:rPr>
          <w:rFonts w:ascii="Calibri" w:hAnsi="Calibri" w:cs="Calibri"/>
          <w:u w:val="single"/>
        </w:rPr>
        <w:t>sprendimų, ir atsižvelgiant į tai, kad šioje byloje akivaizdžiai nebuvo pasinaudota nepriklausoma peržiūros procedūra, pirmiau minėti nešališkumo klausimai įvertinti kaip nesuderinami su Protokolo Nr. 1 3 straipsnio reikalavimais</w:t>
      </w:r>
      <w:r w:rsidRPr="00FB42E6">
        <w:rPr>
          <w:rFonts w:ascii="Calibri" w:hAnsi="Calibri" w:cs="Calibri"/>
        </w:rPr>
        <w:t>.</w:t>
      </w:r>
    </w:p>
    <w:p w14:paraId="569BA308" w14:textId="77777777" w:rsidR="00D11584" w:rsidRDefault="00D11584" w:rsidP="00D11584">
      <w:pPr>
        <w:tabs>
          <w:tab w:val="left" w:pos="1029"/>
        </w:tabs>
        <w:spacing w:after="0" w:line="240" w:lineRule="auto"/>
        <w:ind w:right="-1" w:firstLine="567"/>
        <w:jc w:val="both"/>
        <w:rPr>
          <w:rFonts w:ascii="Calibri" w:hAnsi="Calibri" w:cs="Calibri"/>
        </w:rPr>
      </w:pPr>
      <w:r>
        <w:rPr>
          <w:rFonts w:ascii="Calibri" w:hAnsi="Calibri" w:cs="Calibri"/>
        </w:rPr>
        <w:t xml:space="preserve">Dėl sprendimus priimančio organo diskrecijos Teismas, įvertinęs, kad teisės aktų nuostatos, kurias </w:t>
      </w:r>
      <w:r w:rsidRPr="000C3DF7">
        <w:rPr>
          <w:rFonts w:ascii="Calibri" w:hAnsi="Calibri" w:cs="Calibri"/>
          <w:i/>
          <w:iCs/>
        </w:rPr>
        <w:t xml:space="preserve">Althingi </w:t>
      </w:r>
      <w:r>
        <w:rPr>
          <w:rFonts w:ascii="Calibri" w:hAnsi="Calibri" w:cs="Calibri"/>
        </w:rPr>
        <w:t xml:space="preserve">taikė priimdamas sprendimą dėl pareiškėjų skundo, leido skirtingai interpretuoti sprendimų priėmimą ir dėl to šis procesas pasižymėjo neribota diskrecija, nurodė, kad </w:t>
      </w:r>
      <w:r w:rsidRPr="000C3DF7">
        <w:rPr>
          <w:rFonts w:ascii="Calibri" w:hAnsi="Calibri" w:cs="Calibri"/>
          <w:i/>
          <w:iCs/>
        </w:rPr>
        <w:t xml:space="preserve">Althingi </w:t>
      </w:r>
      <w:r w:rsidRPr="00D66F0B">
        <w:rPr>
          <w:rFonts w:ascii="Calibri" w:hAnsi="Calibri" w:cs="Calibri"/>
        </w:rPr>
        <w:t>diskrecija, spr</w:t>
      </w:r>
      <w:r>
        <w:rPr>
          <w:rFonts w:ascii="Calibri" w:hAnsi="Calibri" w:cs="Calibri"/>
        </w:rPr>
        <w:t>endžiant</w:t>
      </w:r>
      <w:r w:rsidRPr="00D66F0B">
        <w:rPr>
          <w:rFonts w:ascii="Calibri" w:hAnsi="Calibri" w:cs="Calibri"/>
        </w:rPr>
        <w:t xml:space="preserve"> dėl pareiškėjų skundų, nebuvo pakankamai tiksliai </w:t>
      </w:r>
      <w:r>
        <w:rPr>
          <w:rFonts w:ascii="Calibri" w:hAnsi="Calibri" w:cs="Calibri"/>
        </w:rPr>
        <w:t>apibrėžta</w:t>
      </w:r>
      <w:r w:rsidRPr="00D66F0B">
        <w:rPr>
          <w:rFonts w:ascii="Calibri" w:hAnsi="Calibri" w:cs="Calibri"/>
        </w:rPr>
        <w:t xml:space="preserve"> </w:t>
      </w:r>
      <w:r>
        <w:rPr>
          <w:rFonts w:ascii="Calibri" w:hAnsi="Calibri" w:cs="Calibri"/>
        </w:rPr>
        <w:t>nacionalinės</w:t>
      </w:r>
      <w:r w:rsidRPr="00D66F0B">
        <w:rPr>
          <w:rFonts w:ascii="Calibri" w:hAnsi="Calibri" w:cs="Calibri"/>
        </w:rPr>
        <w:t xml:space="preserve"> teisės nuostatomis.</w:t>
      </w:r>
    </w:p>
    <w:p w14:paraId="2BCA5582" w14:textId="77777777" w:rsidR="00D11584" w:rsidRDefault="00D11584" w:rsidP="00D11584">
      <w:pPr>
        <w:tabs>
          <w:tab w:val="left" w:pos="1029"/>
        </w:tabs>
        <w:spacing w:after="0" w:line="240" w:lineRule="auto"/>
        <w:ind w:right="-1" w:firstLine="567"/>
        <w:jc w:val="both"/>
        <w:rPr>
          <w:rFonts w:ascii="Calibri" w:hAnsi="Calibri" w:cs="Calibri"/>
        </w:rPr>
      </w:pPr>
      <w:r>
        <w:rPr>
          <w:rFonts w:ascii="Calibri" w:hAnsi="Calibri" w:cs="Calibri"/>
        </w:rPr>
        <w:t>Įvertinęs tai, kad p</w:t>
      </w:r>
      <w:r w:rsidRPr="00D073AD">
        <w:rPr>
          <w:rFonts w:ascii="Calibri" w:hAnsi="Calibri" w:cs="Calibri"/>
        </w:rPr>
        <w:t>areiškėjai turėjo galimybę efektyviai dalyvauti procedūroje dėl skund</w:t>
      </w:r>
      <w:r>
        <w:rPr>
          <w:rFonts w:ascii="Calibri" w:hAnsi="Calibri" w:cs="Calibri"/>
        </w:rPr>
        <w:t>ų</w:t>
      </w:r>
      <w:r w:rsidRPr="00D073AD">
        <w:rPr>
          <w:rFonts w:ascii="Calibri" w:hAnsi="Calibri" w:cs="Calibri"/>
        </w:rPr>
        <w:t xml:space="preserve"> dėl rinkimų</w:t>
      </w:r>
      <w:r>
        <w:rPr>
          <w:rFonts w:ascii="Calibri" w:hAnsi="Calibri" w:cs="Calibri"/>
        </w:rPr>
        <w:t xml:space="preserve"> nagrinėjimo</w:t>
      </w:r>
      <w:r w:rsidRPr="00D073AD">
        <w:rPr>
          <w:rFonts w:ascii="Calibri" w:hAnsi="Calibri" w:cs="Calibri"/>
        </w:rPr>
        <w:t>, pateikdami savo poziciją pagrindžiančius faktinius ir teisinius argumentus,</w:t>
      </w:r>
      <w:r>
        <w:rPr>
          <w:rFonts w:ascii="Calibri" w:hAnsi="Calibri" w:cs="Calibri"/>
        </w:rPr>
        <w:t xml:space="preserve"> tai, jog b</w:t>
      </w:r>
      <w:r w:rsidRPr="00D073AD">
        <w:rPr>
          <w:rFonts w:ascii="Calibri" w:hAnsi="Calibri" w:cs="Calibri"/>
        </w:rPr>
        <w:t xml:space="preserve">alsavimas dėl įgaliojimų ir rinkimų pagrįstumo </w:t>
      </w:r>
      <w:r w:rsidRPr="000C3DF7">
        <w:rPr>
          <w:rFonts w:ascii="Calibri" w:hAnsi="Calibri" w:cs="Calibri"/>
          <w:i/>
          <w:iCs/>
        </w:rPr>
        <w:t xml:space="preserve">Althingi </w:t>
      </w:r>
      <w:r w:rsidRPr="00D073AD">
        <w:rPr>
          <w:rFonts w:ascii="Calibri" w:hAnsi="Calibri" w:cs="Calibri"/>
        </w:rPr>
        <w:t>rūmuose buvo paremtas išsamia parlamento narių turima tyrimo medžiaga, Parengiamojo įgaliojimų komiteto</w:t>
      </w:r>
      <w:r>
        <w:rPr>
          <w:rFonts w:ascii="Calibri" w:hAnsi="Calibri" w:cs="Calibri"/>
        </w:rPr>
        <w:t xml:space="preserve"> ataskaita, kurioje atsižvelgt</w:t>
      </w:r>
      <w:r w:rsidRPr="00D073AD">
        <w:rPr>
          <w:rFonts w:ascii="Calibri" w:hAnsi="Calibri" w:cs="Calibri"/>
        </w:rPr>
        <w:t>a į svarbius faktinius ir teisinius svarstymus</w:t>
      </w:r>
      <w:r>
        <w:rPr>
          <w:rFonts w:ascii="Calibri" w:hAnsi="Calibri" w:cs="Calibri"/>
        </w:rPr>
        <w:t xml:space="preserve">, taip pat įvertinęs kitas aplinkybes, Teismas sprendė, kad </w:t>
      </w:r>
      <w:r w:rsidRPr="00D073AD">
        <w:rPr>
          <w:rFonts w:ascii="Calibri" w:hAnsi="Calibri" w:cs="Calibri"/>
        </w:rPr>
        <w:t>pareiškėjų skundų nagrinėjimo procedūra buvo teisinga ir objektyvi bei garantavo pakankamai motyvuotą sprendimą.</w:t>
      </w:r>
    </w:p>
    <w:p w14:paraId="0C3F14E0" w14:textId="77777777" w:rsidR="00D11584" w:rsidRDefault="00D11584" w:rsidP="00D11584">
      <w:pPr>
        <w:tabs>
          <w:tab w:val="left" w:pos="1029"/>
        </w:tabs>
        <w:spacing w:after="0" w:line="240" w:lineRule="auto"/>
        <w:ind w:right="-1" w:firstLine="567"/>
        <w:jc w:val="both"/>
        <w:rPr>
          <w:rFonts w:ascii="Calibri" w:hAnsi="Calibri" w:cs="Calibri"/>
        </w:rPr>
      </w:pPr>
      <w:r>
        <w:rPr>
          <w:rFonts w:ascii="Calibri" w:hAnsi="Calibri" w:cs="Calibri"/>
        </w:rPr>
        <w:t xml:space="preserve">Nepaisant to, kad </w:t>
      </w:r>
      <w:r w:rsidRPr="002A1890">
        <w:rPr>
          <w:rFonts w:ascii="Calibri" w:hAnsi="Calibri" w:cs="Calibri"/>
        </w:rPr>
        <w:t xml:space="preserve">pareiškėjų skundai buvo išnagrinėti taikant sąžiningą ir objektyvią procedūrą, užtikrinančią pakankamai pagrįstą sprendimą, susirūpinimas dėl sprendimus priimančio organo nešališkumo ir </w:t>
      </w:r>
      <w:r>
        <w:rPr>
          <w:rFonts w:ascii="Calibri" w:hAnsi="Calibri" w:cs="Calibri"/>
        </w:rPr>
        <w:t>jo diskrecijos naudojimo</w:t>
      </w:r>
      <w:r w:rsidRPr="002A1890">
        <w:rPr>
          <w:rFonts w:ascii="Calibri" w:hAnsi="Calibri" w:cs="Calibri"/>
        </w:rPr>
        <w:t xml:space="preserve"> </w:t>
      </w:r>
      <w:r>
        <w:rPr>
          <w:rFonts w:ascii="Calibri" w:hAnsi="Calibri" w:cs="Calibri"/>
        </w:rPr>
        <w:t>įvertinti kaip</w:t>
      </w:r>
      <w:r w:rsidRPr="002A1890">
        <w:rPr>
          <w:rFonts w:ascii="Calibri" w:hAnsi="Calibri" w:cs="Calibri"/>
        </w:rPr>
        <w:t xml:space="preserve"> nesuderinami su Protokolo Nr. 1 3 straipsnio reikalavimais. </w:t>
      </w:r>
      <w:r>
        <w:rPr>
          <w:rFonts w:ascii="Calibri" w:hAnsi="Calibri" w:cs="Calibri"/>
        </w:rPr>
        <w:t>Todėl</w:t>
      </w:r>
      <w:r w:rsidRPr="002A1890">
        <w:rPr>
          <w:rFonts w:ascii="Calibri" w:hAnsi="Calibri" w:cs="Calibri"/>
        </w:rPr>
        <w:t xml:space="preserve"> šiuo atveju </w:t>
      </w:r>
      <w:r w:rsidRPr="00DE109A">
        <w:rPr>
          <w:rFonts w:ascii="Calibri" w:hAnsi="Calibri" w:cs="Calibri"/>
          <w:u w:val="single"/>
        </w:rPr>
        <w:t>Islandijos valdžios institucijos abiejų pareiškėjų atžvilgiu neįvykdė savo pozityvios procedūrinio pobūdžio pareigos užtikrinti veiksmingą skundų, susijusių su rinkimų teisėmis, tyrimą, kaip reikalaujama pagal Protokolo Nr. 1 3 straipsnį</w:t>
      </w:r>
      <w:r>
        <w:rPr>
          <w:rFonts w:ascii="Calibri" w:hAnsi="Calibri" w:cs="Calibri"/>
        </w:rPr>
        <w:t>.</w:t>
      </w:r>
    </w:p>
    <w:p w14:paraId="6B109523" w14:textId="77777777" w:rsidR="00D11584" w:rsidRDefault="00D11584" w:rsidP="00D11584">
      <w:pPr>
        <w:tabs>
          <w:tab w:val="left" w:pos="1029"/>
        </w:tabs>
        <w:spacing w:after="0" w:line="240" w:lineRule="auto"/>
        <w:ind w:right="-1" w:firstLine="567"/>
        <w:jc w:val="both"/>
        <w:rPr>
          <w:rFonts w:ascii="Calibri" w:hAnsi="Calibri" w:cs="Calibri"/>
        </w:rPr>
      </w:pPr>
      <w:r>
        <w:rPr>
          <w:rFonts w:ascii="Calibri" w:hAnsi="Calibri" w:cs="Calibri"/>
        </w:rPr>
        <w:t xml:space="preserve">Atsižvelgdamas į nustatytus nešališkumo garantijų trūkumus ir nevaržomą institucijų diskreciją, Teismas įvertino, kad </w:t>
      </w:r>
      <w:r w:rsidRPr="009B6DE1">
        <w:rPr>
          <w:rFonts w:ascii="Calibri" w:hAnsi="Calibri" w:cs="Calibri"/>
        </w:rPr>
        <w:t xml:space="preserve">šios bylos aplinkybėmis nebuvo įrodyta, </w:t>
      </w:r>
      <w:r>
        <w:rPr>
          <w:rFonts w:ascii="Calibri" w:hAnsi="Calibri" w:cs="Calibri"/>
        </w:rPr>
        <w:t>jog</w:t>
      </w:r>
      <w:r w:rsidRPr="009B6DE1">
        <w:rPr>
          <w:rFonts w:ascii="Calibri" w:hAnsi="Calibri" w:cs="Calibri"/>
        </w:rPr>
        <w:t xml:space="preserve"> pareiškėjai disponavo veiksminga vidaus teisinės gynybos priemone, atitinkančia Konvencijos 13 straipsnio reikalavimus</w:t>
      </w:r>
      <w:r>
        <w:rPr>
          <w:rFonts w:ascii="Calibri" w:hAnsi="Calibri" w:cs="Calibri"/>
        </w:rPr>
        <w:t xml:space="preserve">, todėl konstatavo, kad </w:t>
      </w:r>
      <w:r w:rsidRPr="009B6DE1">
        <w:rPr>
          <w:rFonts w:ascii="Calibri" w:hAnsi="Calibri" w:cs="Calibri"/>
        </w:rPr>
        <w:t>buvo pažeistas Konv</w:t>
      </w:r>
      <w:r>
        <w:rPr>
          <w:rFonts w:ascii="Calibri" w:hAnsi="Calibri" w:cs="Calibri"/>
        </w:rPr>
        <w:t>encijos 13 straipsnis kartu su</w:t>
      </w:r>
      <w:r w:rsidRPr="009B6DE1">
        <w:rPr>
          <w:rFonts w:ascii="Calibri" w:hAnsi="Calibri" w:cs="Calibri"/>
        </w:rPr>
        <w:t xml:space="preserve"> Protokolo</w:t>
      </w:r>
      <w:r>
        <w:rPr>
          <w:rFonts w:ascii="Calibri" w:hAnsi="Calibri" w:cs="Calibri"/>
        </w:rPr>
        <w:t xml:space="preserve"> Nr. 1</w:t>
      </w:r>
      <w:r w:rsidRPr="009B6DE1">
        <w:rPr>
          <w:rFonts w:ascii="Calibri" w:hAnsi="Calibri" w:cs="Calibri"/>
        </w:rPr>
        <w:t xml:space="preserve"> 3 straipsniu</w:t>
      </w:r>
      <w:r w:rsidRPr="00315AA8">
        <w:rPr>
          <w:rFonts w:ascii="Calibri" w:hAnsi="Calibri" w:cs="Calibri"/>
        </w:rPr>
        <w:t>.</w:t>
      </w:r>
    </w:p>
    <w:p w14:paraId="76364FA8" w14:textId="77777777" w:rsidR="00D11584" w:rsidRDefault="00D11584" w:rsidP="00D11584">
      <w:pPr>
        <w:pStyle w:val="Betarp"/>
        <w:ind w:right="-1" w:firstLine="567"/>
        <w:jc w:val="both"/>
        <w:rPr>
          <w:rFonts w:ascii="Calibri" w:hAnsi="Calibri" w:cs="Calibri"/>
        </w:rPr>
      </w:pPr>
    </w:p>
    <w:p w14:paraId="1C9AC842" w14:textId="67FC568D" w:rsidR="00D11584" w:rsidRDefault="00D11584" w:rsidP="00D11584">
      <w:pPr>
        <w:pStyle w:val="Betarp"/>
        <w:ind w:right="-1" w:firstLine="567"/>
        <w:jc w:val="both"/>
        <w:rPr>
          <w:rFonts w:ascii="Calibri" w:hAnsi="Calibri" w:cs="Calibri"/>
        </w:rPr>
      </w:pPr>
      <w:r w:rsidRPr="00315AA8">
        <w:rPr>
          <w:rFonts w:ascii="Calibri" w:hAnsi="Calibri" w:cs="Calibri"/>
        </w:rPr>
        <w:t xml:space="preserve">Išvada: nustatytas Konvencijos Protokolo Nr. 1 3 straipsnio pažeidimas, taip pat Konvencijos </w:t>
      </w:r>
      <w:r>
        <w:rPr>
          <w:rFonts w:ascii="Calibri" w:hAnsi="Calibri" w:cs="Calibri"/>
        </w:rPr>
        <w:t>13 straipsnio, taikom</w:t>
      </w:r>
      <w:r w:rsidR="00A47E32">
        <w:rPr>
          <w:rFonts w:ascii="Calibri" w:hAnsi="Calibri" w:cs="Calibri"/>
        </w:rPr>
        <w:t>o</w:t>
      </w:r>
      <w:r>
        <w:rPr>
          <w:rFonts w:ascii="Calibri" w:hAnsi="Calibri" w:cs="Calibri"/>
        </w:rPr>
        <w:t xml:space="preserve"> kartu su Protokolo Nr. 1 3 straipsniu</w:t>
      </w:r>
      <w:r w:rsidRPr="00315AA8">
        <w:rPr>
          <w:rFonts w:ascii="Calibri" w:hAnsi="Calibri" w:cs="Calibri"/>
        </w:rPr>
        <w:t>, pažeidimas</w:t>
      </w:r>
      <w:r>
        <w:rPr>
          <w:rFonts w:ascii="Calibri" w:hAnsi="Calibri" w:cs="Calibri"/>
        </w:rPr>
        <w:t xml:space="preserve"> (vienbalsiai)</w:t>
      </w:r>
      <w:r w:rsidRPr="00315AA8">
        <w:rPr>
          <w:rFonts w:ascii="Calibri" w:hAnsi="Calibri" w:cs="Calibri"/>
        </w:rPr>
        <w:t>.</w:t>
      </w:r>
    </w:p>
    <w:p w14:paraId="790158ED" w14:textId="77777777" w:rsidR="00D11584" w:rsidRPr="00315AA8" w:rsidRDefault="00D11584" w:rsidP="00D11584">
      <w:pPr>
        <w:pStyle w:val="Betarp"/>
        <w:ind w:right="-1" w:firstLine="567"/>
        <w:jc w:val="both"/>
        <w:rPr>
          <w:rFonts w:ascii="Calibri" w:hAnsi="Calibri" w:cs="Calibri"/>
        </w:rPr>
      </w:pPr>
      <w:r>
        <w:rPr>
          <w:rFonts w:ascii="Calibri" w:hAnsi="Calibri" w:cs="Calibri"/>
        </w:rPr>
        <w:lastRenderedPageBreak/>
        <w:t>41 straipsnis: pareiškėjams priteista po 13 000 Eur neturinės žalos atlyginimo.</w:t>
      </w:r>
    </w:p>
    <w:p w14:paraId="43BD6AD7" w14:textId="77777777" w:rsidR="00D11584" w:rsidRPr="00315AA8" w:rsidRDefault="00D11584" w:rsidP="00D11584">
      <w:pPr>
        <w:pStyle w:val="Betarp"/>
        <w:ind w:right="-1" w:firstLine="567"/>
        <w:jc w:val="both"/>
        <w:rPr>
          <w:rFonts w:ascii="Calibri" w:hAnsi="Calibri" w:cs="Calibri"/>
        </w:rPr>
      </w:pPr>
      <w:r w:rsidRPr="00315AA8">
        <w:rPr>
          <w:rFonts w:ascii="Calibri" w:hAnsi="Calibri" w:cs="Calibri"/>
        </w:rPr>
        <w:t>Pateikta atskiroji nuomonė.</w:t>
      </w:r>
    </w:p>
    <w:p w14:paraId="54B8A5ED" w14:textId="77777777" w:rsidR="00D11584" w:rsidRPr="00315AA8" w:rsidRDefault="00D11584" w:rsidP="00D11584">
      <w:pPr>
        <w:pStyle w:val="Betarp"/>
        <w:ind w:right="-1" w:firstLine="567"/>
        <w:jc w:val="both"/>
        <w:rPr>
          <w:rFonts w:ascii="Calibri" w:hAnsi="Calibri" w:cs="Calibri"/>
        </w:rPr>
      </w:pPr>
      <w:hyperlink r:id="rId26" w:history="1">
        <w:r w:rsidRPr="00315AA8">
          <w:rPr>
            <w:rStyle w:val="Hipersaitas"/>
            <w:rFonts w:ascii="Calibri" w:hAnsi="Calibri" w:cs="Calibri"/>
          </w:rPr>
          <w:t>Prieiga internete</w:t>
        </w:r>
      </w:hyperlink>
    </w:p>
    <w:p w14:paraId="4AC25D8C" w14:textId="77777777" w:rsidR="00D11584" w:rsidRPr="00315AA8" w:rsidRDefault="00D11584" w:rsidP="00D11584">
      <w:pPr>
        <w:spacing w:after="0" w:line="240" w:lineRule="auto"/>
        <w:ind w:right="-1"/>
        <w:rPr>
          <w:rFonts w:ascii="Calibri" w:eastAsia="Times New Roman" w:hAnsi="Calibri" w:cs="Calibri"/>
          <w:b/>
          <w:color w:val="323E4F"/>
        </w:rPr>
      </w:pPr>
    </w:p>
    <w:p w14:paraId="1D8BA5A5" w14:textId="77777777" w:rsidR="00D11584" w:rsidRPr="00315AA8" w:rsidRDefault="00D11584" w:rsidP="00D11584">
      <w:pPr>
        <w:pStyle w:val="Betarp"/>
        <w:ind w:right="-1"/>
        <w:jc w:val="center"/>
        <w:rPr>
          <w:rFonts w:ascii="Calibri" w:hAnsi="Calibri" w:cs="Calibri"/>
          <w:b/>
          <w:bCs/>
        </w:rPr>
      </w:pPr>
      <w:r w:rsidRPr="00315AA8">
        <w:rPr>
          <w:rFonts w:ascii="Calibri" w:hAnsi="Calibri" w:cs="Calibri"/>
          <w:b/>
          <w:bCs/>
        </w:rPr>
        <w:t>Europos Žmogaus Teisių Teismo 2024 m. birželio 11 d. sprendimas byloje</w:t>
      </w:r>
    </w:p>
    <w:p w14:paraId="115E5FFE" w14:textId="02060251" w:rsidR="00D11584" w:rsidRPr="00D11584" w:rsidRDefault="00D11584" w:rsidP="00D11584">
      <w:pPr>
        <w:keepNext/>
        <w:keepLines/>
        <w:spacing w:after="0" w:line="240" w:lineRule="auto"/>
        <w:jc w:val="center"/>
        <w:outlineLvl w:val="1"/>
        <w:rPr>
          <w:rFonts w:ascii="Calibri" w:eastAsia="Times New Roman" w:hAnsi="Calibri" w:cs="Times New Roman"/>
          <w:b/>
          <w:bCs/>
          <w:i/>
          <w:iCs/>
          <w:color w:val="2E74B5"/>
        </w:rPr>
      </w:pPr>
      <w:bookmarkStart w:id="54" w:name="_Toc181709521"/>
      <w:r w:rsidRPr="00D11584">
        <w:rPr>
          <w:rFonts w:ascii="Calibri" w:eastAsia="Times New Roman" w:hAnsi="Calibri" w:cs="Times New Roman"/>
          <w:b/>
          <w:bCs/>
          <w:i/>
          <w:iCs/>
          <w:color w:val="2E74B5"/>
        </w:rPr>
        <w:t>Kokëdhima prieš Albaniją</w:t>
      </w:r>
      <w:bookmarkEnd w:id="54"/>
    </w:p>
    <w:p w14:paraId="6C955DD3" w14:textId="77777777" w:rsidR="00D11584" w:rsidRPr="00315AA8" w:rsidRDefault="00D11584" w:rsidP="00D11584">
      <w:pPr>
        <w:pStyle w:val="Betarp"/>
        <w:ind w:right="-1"/>
        <w:jc w:val="center"/>
        <w:rPr>
          <w:rFonts w:ascii="Calibri" w:hAnsi="Calibri" w:cs="Calibri"/>
          <w:b/>
          <w:bCs/>
        </w:rPr>
      </w:pPr>
      <w:r w:rsidRPr="00315AA8">
        <w:rPr>
          <w:rFonts w:ascii="Calibri" w:hAnsi="Calibri" w:cs="Calibri"/>
          <w:b/>
          <w:bCs/>
        </w:rPr>
        <w:t>(pareiškim</w:t>
      </w:r>
      <w:r>
        <w:rPr>
          <w:rFonts w:ascii="Calibri" w:hAnsi="Calibri" w:cs="Calibri"/>
          <w:b/>
          <w:bCs/>
        </w:rPr>
        <w:t>o</w:t>
      </w:r>
      <w:r w:rsidRPr="00315AA8">
        <w:rPr>
          <w:rFonts w:ascii="Calibri" w:hAnsi="Calibri" w:cs="Calibri"/>
          <w:b/>
          <w:bCs/>
        </w:rPr>
        <w:t xml:space="preserve"> Nr.</w:t>
      </w:r>
      <w:r w:rsidRPr="00315AA8">
        <w:rPr>
          <w:rFonts w:ascii="Calibri" w:hAnsi="Calibri" w:cs="Calibri"/>
          <w:b/>
          <w:bCs/>
          <w:i/>
          <w:iCs/>
        </w:rPr>
        <w:t> </w:t>
      </w:r>
      <w:r w:rsidRPr="00315AA8">
        <w:rPr>
          <w:rFonts w:ascii="Calibri" w:hAnsi="Calibri" w:cs="Calibri"/>
          <w:b/>
          <w:bCs/>
        </w:rPr>
        <w:t>55159/16, svarbos lygis – 2)</w:t>
      </w:r>
    </w:p>
    <w:p w14:paraId="393D5D97" w14:textId="77777777" w:rsidR="00D11584" w:rsidRPr="00315AA8" w:rsidRDefault="00D11584" w:rsidP="00D11584">
      <w:pPr>
        <w:pStyle w:val="Betarp"/>
        <w:ind w:right="-1"/>
        <w:jc w:val="center"/>
        <w:rPr>
          <w:rFonts w:ascii="Calibri" w:hAnsi="Calibri" w:cs="Calibri"/>
          <w:b/>
          <w:bCs/>
        </w:rPr>
      </w:pPr>
    </w:p>
    <w:p w14:paraId="023C401A" w14:textId="77777777" w:rsidR="00D11584" w:rsidRPr="00D11584" w:rsidRDefault="00D11584" w:rsidP="00D11584">
      <w:pPr>
        <w:pStyle w:val="Antrat3"/>
        <w:spacing w:before="0" w:line="240" w:lineRule="auto"/>
        <w:ind w:right="-1" w:firstLine="567"/>
        <w:rPr>
          <w:rFonts w:ascii="Calibri" w:eastAsia="Times New Roman" w:hAnsi="Calibri" w:cs="Times New Roman"/>
        </w:rPr>
      </w:pPr>
      <w:bookmarkStart w:id="55" w:name="_Toc181709522"/>
      <w:r w:rsidRPr="00D11584">
        <w:rPr>
          <w:rFonts w:ascii="Calibri" w:eastAsia="Times New Roman" w:hAnsi="Calibri" w:cs="Times New Roman"/>
        </w:rPr>
        <w:t>Dėl parlamentaro mandato panaikinimo, nustačius, kad jis nesilaikė pareigos vengti interesų konflikto, užsiimdamas verslu, generuojančiu pelną iš valstybės lėšų</w:t>
      </w:r>
      <w:bookmarkEnd w:id="55"/>
    </w:p>
    <w:p w14:paraId="5C73DB8B" w14:textId="77777777" w:rsidR="00D11584" w:rsidRPr="00315AA8" w:rsidRDefault="00D11584" w:rsidP="00D11584">
      <w:pPr>
        <w:pStyle w:val="Betarp"/>
        <w:ind w:right="-1"/>
        <w:jc w:val="center"/>
        <w:rPr>
          <w:rFonts w:ascii="Calibri" w:hAnsi="Calibri" w:cs="Calibri"/>
          <w:b/>
          <w:bCs/>
        </w:rPr>
      </w:pPr>
    </w:p>
    <w:p w14:paraId="63BA42E1" w14:textId="77777777" w:rsidR="00D11584" w:rsidRPr="00315AA8" w:rsidRDefault="00D11584" w:rsidP="00D11584">
      <w:pPr>
        <w:pStyle w:val="Betarp"/>
        <w:ind w:right="-1"/>
        <w:jc w:val="center"/>
        <w:rPr>
          <w:rFonts w:ascii="Calibri" w:hAnsi="Calibri" w:cs="Calibri"/>
          <w:b/>
          <w:bCs/>
        </w:rPr>
      </w:pPr>
      <w:r w:rsidRPr="00315AA8">
        <w:rPr>
          <w:rFonts w:ascii="Calibri" w:hAnsi="Calibri" w:cs="Calibri"/>
          <w:b/>
          <w:bCs/>
        </w:rPr>
        <w:t>Faktinės aplinkybės</w:t>
      </w:r>
    </w:p>
    <w:p w14:paraId="7BA4AB58" w14:textId="77777777" w:rsidR="00D11584" w:rsidRPr="00315AA8" w:rsidRDefault="00D11584" w:rsidP="00D11584">
      <w:pPr>
        <w:pStyle w:val="Betarp"/>
        <w:ind w:right="-1"/>
        <w:jc w:val="center"/>
        <w:rPr>
          <w:rFonts w:ascii="Calibri" w:hAnsi="Calibri" w:cs="Calibri"/>
        </w:rPr>
      </w:pPr>
    </w:p>
    <w:p w14:paraId="774E479A" w14:textId="77777777" w:rsidR="00D11584" w:rsidRDefault="00D11584" w:rsidP="00D11584">
      <w:pPr>
        <w:spacing w:after="0" w:line="240" w:lineRule="auto"/>
        <w:ind w:right="-1" w:firstLine="567"/>
        <w:jc w:val="both"/>
        <w:rPr>
          <w:rFonts w:ascii="Calibri" w:hAnsi="Calibri" w:cs="Calibri"/>
        </w:rPr>
      </w:pPr>
      <w:r w:rsidRPr="00315AA8">
        <w:rPr>
          <w:rFonts w:ascii="Calibri" w:hAnsi="Calibri" w:cs="Calibri"/>
        </w:rPr>
        <w:t>Pareiškėj</w:t>
      </w:r>
      <w:r>
        <w:rPr>
          <w:rFonts w:ascii="Calibri" w:hAnsi="Calibri" w:cs="Calibri"/>
        </w:rPr>
        <w:t xml:space="preserve">o prašymas susijęs su </w:t>
      </w:r>
      <w:r w:rsidRPr="00B82EE4">
        <w:rPr>
          <w:rFonts w:ascii="Calibri" w:hAnsi="Calibri" w:cs="Calibri"/>
        </w:rPr>
        <w:t xml:space="preserve">Konstitucinio Teismo sprendimu, kuriuo pareiškėjo, kaip parlamento nario, mandatas buvo </w:t>
      </w:r>
      <w:r>
        <w:rPr>
          <w:rFonts w:ascii="Calibri" w:hAnsi="Calibri" w:cs="Calibri"/>
        </w:rPr>
        <w:t>panaikintas</w:t>
      </w:r>
      <w:r w:rsidRPr="00B82EE4">
        <w:rPr>
          <w:rFonts w:ascii="Calibri" w:hAnsi="Calibri" w:cs="Calibri"/>
        </w:rPr>
        <w:t xml:space="preserve"> </w:t>
      </w:r>
      <w:r>
        <w:rPr>
          <w:rFonts w:ascii="Calibri" w:hAnsi="Calibri" w:cs="Calibri"/>
        </w:rPr>
        <w:t xml:space="preserve">dėl to, kad šis mandatas įvertintas kaip </w:t>
      </w:r>
      <w:r w:rsidRPr="00B82EE4">
        <w:rPr>
          <w:rFonts w:ascii="Calibri" w:hAnsi="Calibri" w:cs="Calibri"/>
        </w:rPr>
        <w:t>nesuderinama</w:t>
      </w:r>
      <w:r>
        <w:rPr>
          <w:rFonts w:ascii="Calibri" w:hAnsi="Calibri" w:cs="Calibri"/>
        </w:rPr>
        <w:t>s</w:t>
      </w:r>
      <w:r w:rsidRPr="00B82EE4">
        <w:rPr>
          <w:rFonts w:ascii="Calibri" w:hAnsi="Calibri" w:cs="Calibri"/>
        </w:rPr>
        <w:t xml:space="preserve"> su jo dalyvavimu verslo veikloje per bendrovę Abissnet SHA. Pareiškėjas skundėsi, kad </w:t>
      </w:r>
      <w:r>
        <w:rPr>
          <w:rFonts w:ascii="Calibri" w:hAnsi="Calibri" w:cs="Calibri"/>
        </w:rPr>
        <w:t>pašalinimas iš</w:t>
      </w:r>
      <w:r w:rsidRPr="00B82EE4">
        <w:rPr>
          <w:rFonts w:ascii="Calibri" w:hAnsi="Calibri" w:cs="Calibri"/>
        </w:rPr>
        <w:t xml:space="preserve"> pareigų pažeidė jo teisę atlikti parlament</w:t>
      </w:r>
      <w:r>
        <w:rPr>
          <w:rFonts w:ascii="Calibri" w:hAnsi="Calibri" w:cs="Calibri"/>
        </w:rPr>
        <w:t>aro</w:t>
      </w:r>
      <w:r w:rsidRPr="00B82EE4">
        <w:rPr>
          <w:rFonts w:ascii="Calibri" w:hAnsi="Calibri" w:cs="Calibri"/>
        </w:rPr>
        <w:t xml:space="preserve"> vaidmenį, o tai prieštarauja Konvencijos </w:t>
      </w:r>
      <w:r>
        <w:rPr>
          <w:rFonts w:ascii="Calibri" w:hAnsi="Calibri" w:cs="Calibri"/>
        </w:rPr>
        <w:t>P</w:t>
      </w:r>
      <w:r w:rsidRPr="00B82EE4">
        <w:rPr>
          <w:rFonts w:ascii="Calibri" w:hAnsi="Calibri" w:cs="Calibri"/>
        </w:rPr>
        <w:t xml:space="preserve">rotokolo </w:t>
      </w:r>
      <w:r>
        <w:rPr>
          <w:rFonts w:ascii="Calibri" w:hAnsi="Calibri" w:cs="Calibri"/>
        </w:rPr>
        <w:t xml:space="preserve">Nr. 1 </w:t>
      </w:r>
      <w:r w:rsidRPr="00B82EE4">
        <w:rPr>
          <w:rFonts w:ascii="Calibri" w:hAnsi="Calibri" w:cs="Calibri"/>
        </w:rPr>
        <w:t xml:space="preserve">3 straipsnyje numatytoms garantijoms, </w:t>
      </w:r>
      <w:r>
        <w:rPr>
          <w:rFonts w:ascii="Calibri" w:hAnsi="Calibri" w:cs="Calibri"/>
        </w:rPr>
        <w:t>taip pat pakenkė jo reputacijai, atitinkamai</w:t>
      </w:r>
      <w:r w:rsidRPr="00B82EE4">
        <w:rPr>
          <w:rFonts w:ascii="Calibri" w:hAnsi="Calibri" w:cs="Calibri"/>
        </w:rPr>
        <w:t xml:space="preserve"> pažei</w:t>
      </w:r>
      <w:r>
        <w:rPr>
          <w:rFonts w:ascii="Calibri" w:hAnsi="Calibri" w:cs="Calibri"/>
        </w:rPr>
        <w:t>džiant</w:t>
      </w:r>
      <w:r w:rsidRPr="00B82EE4">
        <w:rPr>
          <w:rFonts w:ascii="Calibri" w:hAnsi="Calibri" w:cs="Calibri"/>
        </w:rPr>
        <w:t xml:space="preserve"> Konvencijos 8 straipsnį.</w:t>
      </w:r>
    </w:p>
    <w:p w14:paraId="111DC9DF" w14:textId="77777777" w:rsidR="00D11584" w:rsidRPr="00315AA8" w:rsidRDefault="00D11584" w:rsidP="00D11584">
      <w:pPr>
        <w:spacing w:after="0" w:line="240" w:lineRule="auto"/>
        <w:ind w:right="-1" w:firstLine="567"/>
        <w:jc w:val="both"/>
        <w:rPr>
          <w:rFonts w:ascii="Calibri" w:hAnsi="Calibri" w:cs="Calibri"/>
        </w:rPr>
      </w:pPr>
      <w:r>
        <w:rPr>
          <w:rFonts w:ascii="Calibri" w:hAnsi="Calibri" w:cs="Calibri"/>
        </w:rPr>
        <w:t>Pareiškėjas</w:t>
      </w:r>
      <w:r w:rsidRPr="00BC4A83">
        <w:rPr>
          <w:rFonts w:ascii="Calibri" w:hAnsi="Calibri" w:cs="Calibri"/>
        </w:rPr>
        <w:t xml:space="preserve"> teigė, kad Konstitucinio Teismo pateiktas </w:t>
      </w:r>
      <w:r>
        <w:rPr>
          <w:rFonts w:ascii="Calibri" w:hAnsi="Calibri" w:cs="Calibri"/>
        </w:rPr>
        <w:t>teisės</w:t>
      </w:r>
      <w:r w:rsidRPr="00BC4A83">
        <w:rPr>
          <w:rFonts w:ascii="Calibri" w:hAnsi="Calibri" w:cs="Calibri"/>
        </w:rPr>
        <w:t xml:space="preserve"> aiškinimas jo byloje buvo pernelyg platus ir nenuspėjamas.</w:t>
      </w:r>
      <w:r>
        <w:rPr>
          <w:rFonts w:ascii="Calibri" w:hAnsi="Calibri" w:cs="Calibri"/>
        </w:rPr>
        <w:t xml:space="preserve"> </w:t>
      </w:r>
      <w:r w:rsidRPr="00BC4A83">
        <w:rPr>
          <w:rFonts w:ascii="Calibri" w:hAnsi="Calibri" w:cs="Calibri"/>
        </w:rPr>
        <w:t>Konstitucinis Teismas konstatavo, kad parlamentaro mandatas prasidėjo tuomet, kai rinkimų rezultatus paskelbė Vyriausioji rinkimų komisija. Pareiškėjas buvo partneris įmonėje, kuri buvo sudariusi sutartis su vietos valdžios institucijomis dėl kompiuterių paslaugų po to, kai</w:t>
      </w:r>
      <w:r>
        <w:rPr>
          <w:rFonts w:ascii="Calibri" w:hAnsi="Calibri" w:cs="Calibri"/>
        </w:rPr>
        <w:t xml:space="preserve"> jis</w:t>
      </w:r>
      <w:r w:rsidRPr="00BC4A83">
        <w:rPr>
          <w:rFonts w:ascii="Calibri" w:hAnsi="Calibri" w:cs="Calibri"/>
        </w:rPr>
        <w:t xml:space="preserve"> buvo paskelbtas išrinktu parlamento nariu. Pareiškėjas teigė, kad jo paties mandatą rinkimų </w:t>
      </w:r>
      <w:r>
        <w:rPr>
          <w:rFonts w:ascii="Calibri" w:hAnsi="Calibri" w:cs="Calibri"/>
        </w:rPr>
        <w:t>komisija</w:t>
      </w:r>
      <w:r w:rsidRPr="00BC4A83">
        <w:rPr>
          <w:rFonts w:ascii="Calibri" w:hAnsi="Calibri" w:cs="Calibri"/>
        </w:rPr>
        <w:t xml:space="preserve"> patvirtino 2013 m. rugpjūčio 2 d., o sutartys, kurias Konstitucinis Teismas </w:t>
      </w:r>
      <w:r>
        <w:rPr>
          <w:rFonts w:ascii="Calibri" w:hAnsi="Calibri" w:cs="Calibri"/>
        </w:rPr>
        <w:t xml:space="preserve">įvertino kaip sukeliančias </w:t>
      </w:r>
      <w:r w:rsidRPr="00BC4A83">
        <w:rPr>
          <w:rFonts w:ascii="Calibri" w:hAnsi="Calibri" w:cs="Calibri"/>
        </w:rPr>
        <w:t>interesų konflikto situacij</w:t>
      </w:r>
      <w:r>
        <w:rPr>
          <w:rFonts w:ascii="Calibri" w:hAnsi="Calibri" w:cs="Calibri"/>
        </w:rPr>
        <w:t>ą</w:t>
      </w:r>
      <w:r w:rsidRPr="00BC4A83">
        <w:rPr>
          <w:rFonts w:ascii="Calibri" w:hAnsi="Calibri" w:cs="Calibri"/>
        </w:rPr>
        <w:t xml:space="preserve">, buvo sudarytos iki šios datos. Todėl Konstitucinio Teismo sprendimas </w:t>
      </w:r>
      <w:r>
        <w:rPr>
          <w:rFonts w:ascii="Calibri" w:hAnsi="Calibri" w:cs="Calibri"/>
        </w:rPr>
        <w:t xml:space="preserve">jam negalėjo būti numatomas </w:t>
      </w:r>
      <w:r w:rsidRPr="00BC4A83">
        <w:rPr>
          <w:rFonts w:ascii="Calibri" w:hAnsi="Calibri" w:cs="Calibri"/>
        </w:rPr>
        <w:t>pagal įstatymą. Nuo tos dienos, kai buvo paskelbtas jo išrinkimas parlamento nariu, jis neleido Abissnet SHA dalyvauti jokiuose viešuosiuose pirkimuose ar sudaryti sutarčių su valstybinėmis institucijomis, siekdamas išvengti</w:t>
      </w:r>
      <w:r>
        <w:rPr>
          <w:rFonts w:ascii="Calibri" w:hAnsi="Calibri" w:cs="Calibri"/>
        </w:rPr>
        <w:t xml:space="preserve"> interesų</w:t>
      </w:r>
      <w:r w:rsidRPr="00BC4A83">
        <w:rPr>
          <w:rFonts w:ascii="Calibri" w:hAnsi="Calibri" w:cs="Calibri"/>
        </w:rPr>
        <w:t xml:space="preserve"> konflikto. Be to, 2014 m. vasario mėn. jis pardavė savo</w:t>
      </w:r>
      <w:r>
        <w:rPr>
          <w:rFonts w:ascii="Calibri" w:hAnsi="Calibri" w:cs="Calibri"/>
        </w:rPr>
        <w:t xml:space="preserve"> </w:t>
      </w:r>
      <w:r w:rsidRPr="00BC4A83">
        <w:rPr>
          <w:rFonts w:ascii="Calibri" w:hAnsi="Calibri" w:cs="Calibri"/>
        </w:rPr>
        <w:t>Abissnet SHA akcijas ne dėl numanomo interesų konflikto, o siekdamas užtikrinti, kad bendrovės veiklai nebetrukdytų jo konstituciniai suvaržymai.</w:t>
      </w:r>
    </w:p>
    <w:p w14:paraId="3ED62B48" w14:textId="77777777" w:rsidR="00D11584" w:rsidRPr="00315AA8" w:rsidRDefault="00D11584" w:rsidP="00D11584">
      <w:pPr>
        <w:spacing w:after="0" w:line="240" w:lineRule="auto"/>
        <w:ind w:right="-1" w:firstLine="567"/>
        <w:jc w:val="both"/>
        <w:rPr>
          <w:rFonts w:ascii="Calibri" w:hAnsi="Calibri" w:cs="Calibri"/>
        </w:rPr>
      </w:pPr>
    </w:p>
    <w:p w14:paraId="394736A2" w14:textId="77777777" w:rsidR="00D11584" w:rsidRPr="00315AA8" w:rsidRDefault="00D11584" w:rsidP="00D11584">
      <w:pPr>
        <w:shd w:val="clear" w:color="auto" w:fill="FFFFFF"/>
        <w:spacing w:after="0" w:line="240" w:lineRule="auto"/>
        <w:ind w:right="-1"/>
        <w:jc w:val="center"/>
        <w:rPr>
          <w:rFonts w:ascii="Calibri" w:eastAsia="Times New Roman" w:hAnsi="Calibri" w:cs="Calibri"/>
          <w:b/>
          <w:bCs/>
          <w:color w:val="000000"/>
        </w:rPr>
      </w:pPr>
      <w:r w:rsidRPr="00315AA8">
        <w:rPr>
          <w:rFonts w:ascii="Calibri" w:eastAsia="Times New Roman" w:hAnsi="Calibri" w:cs="Calibri"/>
          <w:b/>
          <w:bCs/>
          <w:color w:val="000000"/>
        </w:rPr>
        <w:t>Neoficiali Teismo sprendimo apžvalga</w:t>
      </w:r>
    </w:p>
    <w:p w14:paraId="7C07B7A5" w14:textId="77777777" w:rsidR="00D11584" w:rsidRPr="00315AA8" w:rsidRDefault="00D11584" w:rsidP="00D11584">
      <w:pPr>
        <w:pStyle w:val="Betarp"/>
        <w:ind w:right="-1"/>
        <w:jc w:val="center"/>
        <w:rPr>
          <w:rFonts w:ascii="Calibri" w:hAnsi="Calibri" w:cs="Calibri"/>
        </w:rPr>
      </w:pPr>
    </w:p>
    <w:p w14:paraId="4F1D2A21" w14:textId="1FCB64A8" w:rsidR="00D11584" w:rsidRDefault="00D11584" w:rsidP="00D11584">
      <w:pPr>
        <w:spacing w:after="0" w:line="240" w:lineRule="auto"/>
        <w:ind w:right="-1" w:firstLine="567"/>
        <w:jc w:val="both"/>
        <w:rPr>
          <w:rFonts w:ascii="Calibri" w:hAnsi="Calibri" w:cs="Calibri"/>
        </w:rPr>
      </w:pPr>
      <w:r w:rsidRPr="00315AA8">
        <w:rPr>
          <w:rFonts w:ascii="Calibri" w:hAnsi="Calibri" w:cs="Calibri"/>
        </w:rPr>
        <w:t xml:space="preserve">EŽTT pažymėjo, jog </w:t>
      </w:r>
      <w:r>
        <w:rPr>
          <w:rFonts w:ascii="Calibri" w:hAnsi="Calibri" w:cs="Calibri"/>
        </w:rPr>
        <w:t xml:space="preserve">neginčyta, kad </w:t>
      </w:r>
      <w:r w:rsidRPr="00BC4A83">
        <w:rPr>
          <w:rFonts w:ascii="Calibri" w:hAnsi="Calibri" w:cs="Calibri"/>
        </w:rPr>
        <w:t xml:space="preserve">Konstituciniam Teismui panaikinus pareiškėjo parlamentaro </w:t>
      </w:r>
      <w:r>
        <w:rPr>
          <w:rFonts w:ascii="Calibri" w:hAnsi="Calibri" w:cs="Calibri"/>
        </w:rPr>
        <w:t>mandatą</w:t>
      </w:r>
      <w:r w:rsidRPr="00BC4A83">
        <w:rPr>
          <w:rFonts w:ascii="Calibri" w:hAnsi="Calibri" w:cs="Calibri"/>
        </w:rPr>
        <w:t xml:space="preserve">, buvo </w:t>
      </w:r>
      <w:r>
        <w:rPr>
          <w:rFonts w:ascii="Calibri" w:hAnsi="Calibri" w:cs="Calibri"/>
        </w:rPr>
        <w:t xml:space="preserve">įsikišta į pareiškėjo </w:t>
      </w:r>
      <w:r w:rsidRPr="00BC4A83">
        <w:rPr>
          <w:rFonts w:ascii="Calibri" w:hAnsi="Calibri" w:cs="Calibri"/>
        </w:rPr>
        <w:t>teis</w:t>
      </w:r>
      <w:r>
        <w:rPr>
          <w:rFonts w:ascii="Calibri" w:hAnsi="Calibri" w:cs="Calibri"/>
        </w:rPr>
        <w:t>e</w:t>
      </w:r>
      <w:r w:rsidRPr="00BC4A83">
        <w:rPr>
          <w:rFonts w:ascii="Calibri" w:hAnsi="Calibri" w:cs="Calibri"/>
        </w:rPr>
        <w:t>s, saugom</w:t>
      </w:r>
      <w:r>
        <w:rPr>
          <w:rFonts w:ascii="Calibri" w:hAnsi="Calibri" w:cs="Calibri"/>
        </w:rPr>
        <w:t>a</w:t>
      </w:r>
      <w:r w:rsidRPr="00BC4A83">
        <w:rPr>
          <w:rFonts w:ascii="Calibri" w:hAnsi="Calibri" w:cs="Calibri"/>
        </w:rPr>
        <w:t>s pagal Protokolo Nr. 1 3 straipsnį. Šalys taip pat sutarė, kad iš esmės nacionalin</w:t>
      </w:r>
      <w:r>
        <w:rPr>
          <w:rFonts w:ascii="Calibri" w:hAnsi="Calibri" w:cs="Calibri"/>
        </w:rPr>
        <w:t>iais</w:t>
      </w:r>
      <w:r w:rsidRPr="00BC4A83">
        <w:rPr>
          <w:rFonts w:ascii="Calibri" w:hAnsi="Calibri" w:cs="Calibri"/>
        </w:rPr>
        <w:t xml:space="preserve"> teisės aktai</w:t>
      </w:r>
      <w:r>
        <w:rPr>
          <w:rFonts w:ascii="Calibri" w:hAnsi="Calibri" w:cs="Calibri"/>
        </w:rPr>
        <w:t>s</w:t>
      </w:r>
      <w:r w:rsidRPr="00BC4A83">
        <w:rPr>
          <w:rFonts w:ascii="Calibri" w:hAnsi="Calibri" w:cs="Calibri"/>
        </w:rPr>
        <w:t>, reglamentuojan</w:t>
      </w:r>
      <w:r>
        <w:rPr>
          <w:rFonts w:ascii="Calibri" w:hAnsi="Calibri" w:cs="Calibri"/>
        </w:rPr>
        <w:t>čiais</w:t>
      </w:r>
      <w:r w:rsidRPr="00BC4A83">
        <w:rPr>
          <w:rFonts w:ascii="Calibri" w:hAnsi="Calibri" w:cs="Calibri"/>
        </w:rPr>
        <w:t xml:space="preserve"> konfliktų prevenciją</w:t>
      </w:r>
      <w:r>
        <w:rPr>
          <w:rFonts w:ascii="Calibri" w:hAnsi="Calibri" w:cs="Calibri"/>
        </w:rPr>
        <w:t xml:space="preserve"> dėl su</w:t>
      </w:r>
      <w:r w:rsidRPr="00BC4A83">
        <w:rPr>
          <w:rFonts w:ascii="Calibri" w:hAnsi="Calibri" w:cs="Calibri"/>
        </w:rPr>
        <w:t xml:space="preserve"> parlamento nariais susijusi</w:t>
      </w:r>
      <w:r>
        <w:rPr>
          <w:rFonts w:ascii="Calibri" w:hAnsi="Calibri" w:cs="Calibri"/>
        </w:rPr>
        <w:t>ų</w:t>
      </w:r>
      <w:r w:rsidRPr="00BC4A83">
        <w:rPr>
          <w:rFonts w:ascii="Calibri" w:hAnsi="Calibri" w:cs="Calibri"/>
        </w:rPr>
        <w:t xml:space="preserve"> interes</w:t>
      </w:r>
      <w:r>
        <w:rPr>
          <w:rFonts w:ascii="Calibri" w:hAnsi="Calibri" w:cs="Calibri"/>
        </w:rPr>
        <w:t>ų,</w:t>
      </w:r>
      <w:r w:rsidRPr="00BC4A83">
        <w:rPr>
          <w:rFonts w:ascii="Calibri" w:hAnsi="Calibri" w:cs="Calibri"/>
        </w:rPr>
        <w:t xml:space="preserve"> buvo siekiama teisėtų tikslų, tokių kaip užtikrinti jų nešališkumą ir visuomenės pasitikėjimą įstatymų leidėj</w:t>
      </w:r>
      <w:r>
        <w:rPr>
          <w:rFonts w:ascii="Calibri" w:hAnsi="Calibri" w:cs="Calibri"/>
        </w:rPr>
        <w:t>u,</w:t>
      </w:r>
      <w:r w:rsidRPr="00BC4A83">
        <w:rPr>
          <w:rFonts w:ascii="Calibri" w:hAnsi="Calibri" w:cs="Calibri"/>
        </w:rPr>
        <w:t xml:space="preserve"> vengti situacijų, kai jie galėtų pasinaudoti savo padėtimi</w:t>
      </w:r>
      <w:r>
        <w:rPr>
          <w:rFonts w:ascii="Calibri" w:hAnsi="Calibri" w:cs="Calibri"/>
        </w:rPr>
        <w:t>,</w:t>
      </w:r>
      <w:r w:rsidRPr="00BC4A83">
        <w:rPr>
          <w:rFonts w:ascii="Calibri" w:hAnsi="Calibri" w:cs="Calibri"/>
        </w:rPr>
        <w:t xml:space="preserve"> siekdami pasipelnyti iš valstybės išteklių.</w:t>
      </w:r>
    </w:p>
    <w:p w14:paraId="2CE61120" w14:textId="77777777" w:rsidR="00D11584" w:rsidRPr="00115478" w:rsidRDefault="00D11584" w:rsidP="00D11584">
      <w:pPr>
        <w:spacing w:after="0" w:line="240" w:lineRule="auto"/>
        <w:ind w:right="-1" w:firstLine="567"/>
        <w:jc w:val="both"/>
        <w:rPr>
          <w:rFonts w:ascii="Calibri" w:hAnsi="Calibri" w:cs="Calibri"/>
          <w:u w:val="single"/>
        </w:rPr>
      </w:pPr>
      <w:r w:rsidRPr="00BC4A83">
        <w:rPr>
          <w:rFonts w:ascii="Calibri" w:hAnsi="Calibri" w:cs="Calibri"/>
        </w:rPr>
        <w:t>Teismas pasteb</w:t>
      </w:r>
      <w:r>
        <w:rPr>
          <w:rFonts w:ascii="Calibri" w:hAnsi="Calibri" w:cs="Calibri"/>
        </w:rPr>
        <w:t>ėjo</w:t>
      </w:r>
      <w:r w:rsidRPr="00BC4A83">
        <w:rPr>
          <w:rFonts w:ascii="Calibri" w:hAnsi="Calibri" w:cs="Calibri"/>
        </w:rPr>
        <w:t>, kad Konstitucijos 70 straipsnio 3 dalis draudžia parlamentarams užsiimti bet kokia veikla,</w:t>
      </w:r>
      <w:r>
        <w:rPr>
          <w:rFonts w:ascii="Calibri" w:hAnsi="Calibri" w:cs="Calibri"/>
        </w:rPr>
        <w:t xml:space="preserve"> už</w:t>
      </w:r>
      <w:r w:rsidRPr="00BC4A83">
        <w:rPr>
          <w:rFonts w:ascii="Calibri" w:hAnsi="Calibri" w:cs="Calibri"/>
        </w:rPr>
        <w:t xml:space="preserve"> kuri</w:t>
      </w:r>
      <w:r>
        <w:rPr>
          <w:rFonts w:ascii="Calibri" w:hAnsi="Calibri" w:cs="Calibri"/>
        </w:rPr>
        <w:t>ą</w:t>
      </w:r>
      <w:r w:rsidRPr="00BC4A83">
        <w:rPr>
          <w:rFonts w:ascii="Calibri" w:hAnsi="Calibri" w:cs="Calibri"/>
        </w:rPr>
        <w:t xml:space="preserve"> gaunamas pelnas iš valstybės išteklių. Be to, Įstatym</w:t>
      </w:r>
      <w:r>
        <w:rPr>
          <w:rFonts w:ascii="Calibri" w:hAnsi="Calibri" w:cs="Calibri"/>
        </w:rPr>
        <w:t>e Nr. 9367/2005 aiškiai nurodyt</w:t>
      </w:r>
      <w:r w:rsidRPr="00BC4A83">
        <w:rPr>
          <w:rFonts w:ascii="Calibri" w:hAnsi="Calibri" w:cs="Calibri"/>
        </w:rPr>
        <w:t>a, kad parlamentarams, kaip ir kitiems valstybės pa</w:t>
      </w:r>
      <w:r>
        <w:rPr>
          <w:rFonts w:ascii="Calibri" w:hAnsi="Calibri" w:cs="Calibri"/>
        </w:rPr>
        <w:t xml:space="preserve">reigūnams, draudžiama sudaryti </w:t>
      </w:r>
      <w:r w:rsidRPr="00BC4A83">
        <w:rPr>
          <w:rFonts w:ascii="Calibri" w:hAnsi="Calibri" w:cs="Calibri"/>
        </w:rPr>
        <w:t>sutartį ar subrangos sutartį su bet kuria viešąja institucija</w:t>
      </w:r>
      <w:r>
        <w:rPr>
          <w:rFonts w:ascii="Calibri" w:hAnsi="Calibri" w:cs="Calibri"/>
        </w:rPr>
        <w:t>,</w:t>
      </w:r>
      <w:r w:rsidRPr="00BC4A83">
        <w:rPr>
          <w:rFonts w:ascii="Calibri" w:hAnsi="Calibri" w:cs="Calibri"/>
        </w:rPr>
        <w:t xml:space="preserve"> tas pats </w:t>
      </w:r>
      <w:r>
        <w:rPr>
          <w:rFonts w:ascii="Calibri" w:hAnsi="Calibri" w:cs="Calibri"/>
        </w:rPr>
        <w:t>taikoma</w:t>
      </w:r>
      <w:r w:rsidRPr="00BC4A83">
        <w:rPr>
          <w:rFonts w:ascii="Calibri" w:hAnsi="Calibri" w:cs="Calibri"/>
        </w:rPr>
        <w:t xml:space="preserve"> ir </w:t>
      </w:r>
      <w:r>
        <w:rPr>
          <w:rFonts w:ascii="Calibri" w:hAnsi="Calibri" w:cs="Calibri"/>
        </w:rPr>
        <w:t>visoms</w:t>
      </w:r>
      <w:r w:rsidRPr="00BC4A83">
        <w:rPr>
          <w:rFonts w:ascii="Calibri" w:hAnsi="Calibri" w:cs="Calibri"/>
        </w:rPr>
        <w:t xml:space="preserve"> bendrov</w:t>
      </w:r>
      <w:r>
        <w:rPr>
          <w:rFonts w:ascii="Calibri" w:hAnsi="Calibri" w:cs="Calibri"/>
        </w:rPr>
        <w:t>ėm</w:t>
      </w:r>
      <w:r w:rsidRPr="00BC4A83">
        <w:rPr>
          <w:rFonts w:ascii="Calibri" w:hAnsi="Calibri" w:cs="Calibri"/>
        </w:rPr>
        <w:t>s, kuriose pareigūnas turi kokių nors turtinių interesų. Konstitucinio Teismo jurisprudencija</w:t>
      </w:r>
      <w:r>
        <w:rPr>
          <w:rFonts w:ascii="Calibri" w:hAnsi="Calibri" w:cs="Calibri"/>
        </w:rPr>
        <w:t xml:space="preserve"> </w:t>
      </w:r>
      <w:r w:rsidRPr="00BC4A83">
        <w:rPr>
          <w:rFonts w:ascii="Calibri" w:hAnsi="Calibri" w:cs="Calibri"/>
        </w:rPr>
        <w:t xml:space="preserve">šiuo </w:t>
      </w:r>
      <w:r>
        <w:rPr>
          <w:rFonts w:ascii="Calibri" w:hAnsi="Calibri" w:cs="Calibri"/>
        </w:rPr>
        <w:t>klausimu</w:t>
      </w:r>
      <w:r w:rsidRPr="00BC4A83">
        <w:rPr>
          <w:rFonts w:ascii="Calibri" w:hAnsi="Calibri" w:cs="Calibri"/>
        </w:rPr>
        <w:t xml:space="preserve"> buvo aišk</w:t>
      </w:r>
      <w:r>
        <w:rPr>
          <w:rFonts w:ascii="Calibri" w:hAnsi="Calibri" w:cs="Calibri"/>
        </w:rPr>
        <w:t>i</w:t>
      </w:r>
      <w:r w:rsidRPr="00BC4A83">
        <w:rPr>
          <w:rFonts w:ascii="Calibri" w:hAnsi="Calibri" w:cs="Calibri"/>
        </w:rPr>
        <w:t xml:space="preserve">. Todėl </w:t>
      </w:r>
      <w:r w:rsidRPr="00115478">
        <w:rPr>
          <w:rFonts w:ascii="Calibri" w:hAnsi="Calibri" w:cs="Calibri"/>
          <w:u w:val="single"/>
        </w:rPr>
        <w:t>nekilo jokių abejonių, kad įmonės, kuri gauna pajamų iš sutarčių su valstybės institucijomis, valdymas yra nesuderinamas su parlamento nario mandatu pagal nacionalinę teisę.</w:t>
      </w:r>
    </w:p>
    <w:p w14:paraId="112BCA00" w14:textId="77777777" w:rsidR="00D11584" w:rsidRDefault="00D11584" w:rsidP="00D11584">
      <w:pPr>
        <w:spacing w:after="0" w:line="240" w:lineRule="auto"/>
        <w:ind w:right="-1" w:firstLine="567"/>
        <w:jc w:val="both"/>
        <w:rPr>
          <w:rFonts w:ascii="Calibri" w:hAnsi="Calibri" w:cs="Calibri"/>
        </w:rPr>
      </w:pPr>
      <w:r w:rsidRPr="00940141">
        <w:rPr>
          <w:rFonts w:ascii="Calibri" w:hAnsi="Calibri" w:cs="Calibri"/>
        </w:rPr>
        <w:t>Teismas pažym</w:t>
      </w:r>
      <w:r>
        <w:rPr>
          <w:rFonts w:ascii="Calibri" w:hAnsi="Calibri" w:cs="Calibri"/>
        </w:rPr>
        <w:t>ėjo</w:t>
      </w:r>
      <w:r w:rsidRPr="00940141">
        <w:rPr>
          <w:rFonts w:ascii="Calibri" w:hAnsi="Calibri" w:cs="Calibri"/>
        </w:rPr>
        <w:t>, kad bendrovė Abissnet SHA, kurios vienintelis akcininkas buvo pareiškėjas, sudarė interneto ir fiksuoto telefono ryšio paslaugų teikimo sutartis su įvairiomis valdžios institucijomis prieš paskelbiant pareiškėjo rinkimus. Bendrovė toliau gaudavo pajamas pagal šias sutartis net ir po to, kai pareiškėjas pradėjo eiti parlamen</w:t>
      </w:r>
      <w:r>
        <w:rPr>
          <w:rFonts w:ascii="Calibri" w:hAnsi="Calibri" w:cs="Calibri"/>
        </w:rPr>
        <w:t>taro pareigas</w:t>
      </w:r>
      <w:r w:rsidRPr="00940141">
        <w:rPr>
          <w:rFonts w:ascii="Calibri" w:hAnsi="Calibri" w:cs="Calibri"/>
        </w:rPr>
        <w:t>.</w:t>
      </w:r>
    </w:p>
    <w:p w14:paraId="57F11F84" w14:textId="77777777" w:rsidR="00D11584" w:rsidRPr="00A63C48" w:rsidRDefault="00D11584" w:rsidP="00D11584">
      <w:pPr>
        <w:spacing w:after="0" w:line="240" w:lineRule="auto"/>
        <w:ind w:right="-1" w:firstLine="567"/>
        <w:jc w:val="both"/>
        <w:rPr>
          <w:rFonts w:ascii="Calibri" w:hAnsi="Calibri" w:cs="Calibri"/>
          <w:u w:val="single"/>
        </w:rPr>
      </w:pPr>
      <w:r>
        <w:rPr>
          <w:rFonts w:ascii="Calibri" w:hAnsi="Calibri" w:cs="Calibri"/>
        </w:rPr>
        <w:t>P</w:t>
      </w:r>
      <w:r w:rsidRPr="00A50047">
        <w:rPr>
          <w:rFonts w:ascii="Calibri" w:hAnsi="Calibri" w:cs="Calibri"/>
        </w:rPr>
        <w:t>areiškėjas teigė, kad bendrovė nustojo dalyvauti viešuosiuose konkursuose, kai tik buvo paskelbtas jo išrinkimas. Tačiau jis neginčij</w:t>
      </w:r>
      <w:r>
        <w:rPr>
          <w:rFonts w:ascii="Calibri" w:hAnsi="Calibri" w:cs="Calibri"/>
        </w:rPr>
        <w:t>o</w:t>
      </w:r>
      <w:r w:rsidRPr="00A50047">
        <w:rPr>
          <w:rFonts w:ascii="Calibri" w:hAnsi="Calibri" w:cs="Calibri"/>
        </w:rPr>
        <w:t xml:space="preserve">, kad bendrovė ir toliau gaudavo pajamų iš anksčiau su valstybės institucijomis sudarytų sutarčių. Šiuo </w:t>
      </w:r>
      <w:r>
        <w:rPr>
          <w:rFonts w:ascii="Calibri" w:hAnsi="Calibri" w:cs="Calibri"/>
        </w:rPr>
        <w:t>aspektu</w:t>
      </w:r>
      <w:r w:rsidRPr="00A50047">
        <w:rPr>
          <w:rFonts w:ascii="Calibri" w:hAnsi="Calibri" w:cs="Calibri"/>
        </w:rPr>
        <w:t xml:space="preserve"> Teismas pažym</w:t>
      </w:r>
      <w:r>
        <w:rPr>
          <w:rFonts w:ascii="Calibri" w:hAnsi="Calibri" w:cs="Calibri"/>
        </w:rPr>
        <w:t>ėjo</w:t>
      </w:r>
      <w:r w:rsidRPr="00A50047">
        <w:rPr>
          <w:rFonts w:ascii="Calibri" w:hAnsi="Calibri" w:cs="Calibri"/>
        </w:rPr>
        <w:t xml:space="preserve">, kad sprendime Nr. 44 (2011) </w:t>
      </w:r>
      <w:r w:rsidRPr="00A63C48">
        <w:rPr>
          <w:rFonts w:ascii="Calibri" w:hAnsi="Calibri" w:cs="Calibri"/>
          <w:u w:val="single"/>
        </w:rPr>
        <w:t xml:space="preserve">Konstitucinis Teismas gana griežtai išaiškino konstitucinius ir įstatyminius apribojimus parlamentarams užsiimti veikla, generuojančia </w:t>
      </w:r>
      <w:r w:rsidRPr="00A63C48">
        <w:rPr>
          <w:rFonts w:ascii="Calibri" w:hAnsi="Calibri" w:cs="Calibri"/>
          <w:u w:val="single"/>
        </w:rPr>
        <w:lastRenderedPageBreak/>
        <w:t>pelną iš valstybės turto</w:t>
      </w:r>
      <w:r w:rsidRPr="00A50047">
        <w:rPr>
          <w:rFonts w:ascii="Calibri" w:hAnsi="Calibri" w:cs="Calibri"/>
        </w:rPr>
        <w:t>. Konstitucinio Teismo požiūris gr</w:t>
      </w:r>
      <w:r>
        <w:rPr>
          <w:rFonts w:ascii="Calibri" w:hAnsi="Calibri" w:cs="Calibri"/>
        </w:rPr>
        <w:t>įstas</w:t>
      </w:r>
      <w:r w:rsidRPr="00A50047">
        <w:rPr>
          <w:rFonts w:ascii="Calibri" w:hAnsi="Calibri" w:cs="Calibri"/>
        </w:rPr>
        <w:t xml:space="preserve"> Konstitucijos 70 straipsni</w:t>
      </w:r>
      <w:r>
        <w:rPr>
          <w:rFonts w:ascii="Calibri" w:hAnsi="Calibri" w:cs="Calibri"/>
        </w:rPr>
        <w:t>u</w:t>
      </w:r>
      <w:r w:rsidRPr="00A50047">
        <w:rPr>
          <w:rFonts w:ascii="Calibri" w:hAnsi="Calibri" w:cs="Calibri"/>
        </w:rPr>
        <w:t>, kuris draudžia parlamentarams ne tik gauti naudos iš valstybės išteklių, vykd</w:t>
      </w:r>
      <w:r>
        <w:rPr>
          <w:rFonts w:ascii="Calibri" w:hAnsi="Calibri" w:cs="Calibri"/>
        </w:rPr>
        <w:t xml:space="preserve">ant </w:t>
      </w:r>
      <w:r w:rsidRPr="00A50047">
        <w:rPr>
          <w:rFonts w:ascii="Calibri" w:hAnsi="Calibri" w:cs="Calibri"/>
        </w:rPr>
        <w:t>privačią ūkinę veiklą, bet ir vykdyti bet kokias kitas viešąsias funkcijas, išskyrus vienintelę išimtį</w:t>
      </w:r>
      <w:r>
        <w:rPr>
          <w:rFonts w:ascii="Calibri" w:hAnsi="Calibri" w:cs="Calibri"/>
        </w:rPr>
        <w:t xml:space="preserve"> –</w:t>
      </w:r>
      <w:r w:rsidRPr="00A50047">
        <w:rPr>
          <w:rFonts w:ascii="Calibri" w:hAnsi="Calibri" w:cs="Calibri"/>
        </w:rPr>
        <w:t xml:space="preserve"> </w:t>
      </w:r>
      <w:r>
        <w:rPr>
          <w:rFonts w:ascii="Calibri" w:hAnsi="Calibri" w:cs="Calibri"/>
        </w:rPr>
        <w:t>būnant</w:t>
      </w:r>
      <w:r w:rsidRPr="00A50047">
        <w:rPr>
          <w:rFonts w:ascii="Calibri" w:hAnsi="Calibri" w:cs="Calibri"/>
        </w:rPr>
        <w:t xml:space="preserve"> ministrų kabineto nariu. 2011 m. sprendime Konstitucinis Teismas šiuos draudimus išaiškino kaip galiojan</w:t>
      </w:r>
      <w:r>
        <w:rPr>
          <w:rFonts w:ascii="Calibri" w:hAnsi="Calibri" w:cs="Calibri"/>
        </w:rPr>
        <w:t>čius</w:t>
      </w:r>
      <w:r w:rsidRPr="00A50047">
        <w:rPr>
          <w:rFonts w:ascii="Calibri" w:hAnsi="Calibri" w:cs="Calibri"/>
        </w:rPr>
        <w:t xml:space="preserve"> parlamentarui, kuris turėjo bet kokį pajamų šaltinį iš valstybės </w:t>
      </w:r>
      <w:r>
        <w:rPr>
          <w:rFonts w:ascii="Calibri" w:hAnsi="Calibri" w:cs="Calibri"/>
        </w:rPr>
        <w:t>turto</w:t>
      </w:r>
      <w:r w:rsidRPr="00A50047">
        <w:rPr>
          <w:rFonts w:ascii="Calibri" w:hAnsi="Calibri" w:cs="Calibri"/>
        </w:rPr>
        <w:t>, išskyrus parlament</w:t>
      </w:r>
      <w:r>
        <w:rPr>
          <w:rFonts w:ascii="Calibri" w:hAnsi="Calibri" w:cs="Calibri"/>
        </w:rPr>
        <w:t>ar</w:t>
      </w:r>
      <w:r w:rsidRPr="00A50047">
        <w:rPr>
          <w:rFonts w:ascii="Calibri" w:hAnsi="Calibri" w:cs="Calibri"/>
        </w:rPr>
        <w:t xml:space="preserve">o atlyginimą ir išmokas. </w:t>
      </w:r>
      <w:r w:rsidRPr="00A63C48">
        <w:rPr>
          <w:rFonts w:ascii="Calibri" w:hAnsi="Calibri" w:cs="Calibri"/>
          <w:u w:val="single"/>
        </w:rPr>
        <w:t>Konstituciniam Teismui pareiškėjo atveju lemiamą reikšmę turėjo ne sutarčių sudarymo laikas, o tai, kad valstybės mokėjimai įmonei pagal šias sutartis buvo tęsiami net ir pareiškėjui pradėjus eiti parlamentaro pareigas. Teismas šiame požiūryje neįžvelgė jokio savavališkumo elemento.</w:t>
      </w:r>
    </w:p>
    <w:p w14:paraId="5852E9A9" w14:textId="77777777" w:rsidR="00D11584" w:rsidRDefault="00D11584" w:rsidP="00D11584">
      <w:pPr>
        <w:spacing w:after="0" w:line="240" w:lineRule="auto"/>
        <w:ind w:right="-1" w:firstLine="567"/>
        <w:jc w:val="both"/>
        <w:rPr>
          <w:rFonts w:ascii="Calibri" w:hAnsi="Calibri" w:cs="Calibri"/>
        </w:rPr>
      </w:pPr>
      <w:r w:rsidRPr="00F277A2">
        <w:rPr>
          <w:rFonts w:ascii="Calibri" w:hAnsi="Calibri" w:cs="Calibri"/>
        </w:rPr>
        <w:t xml:space="preserve">Teismas </w:t>
      </w:r>
      <w:r>
        <w:rPr>
          <w:rFonts w:ascii="Calibri" w:hAnsi="Calibri" w:cs="Calibri"/>
        </w:rPr>
        <w:t>neturėjo pagrindo</w:t>
      </w:r>
      <w:r w:rsidRPr="00F277A2">
        <w:rPr>
          <w:rFonts w:ascii="Calibri" w:hAnsi="Calibri" w:cs="Calibri"/>
        </w:rPr>
        <w:t xml:space="preserve"> daryti išvad</w:t>
      </w:r>
      <w:r>
        <w:rPr>
          <w:rFonts w:ascii="Calibri" w:hAnsi="Calibri" w:cs="Calibri"/>
        </w:rPr>
        <w:t>os</w:t>
      </w:r>
      <w:r w:rsidRPr="00F277A2">
        <w:rPr>
          <w:rFonts w:ascii="Calibri" w:hAnsi="Calibri" w:cs="Calibri"/>
        </w:rPr>
        <w:t xml:space="preserve">, kad Konstitucinio Teismo sprendimas, kuriuo </w:t>
      </w:r>
      <w:r>
        <w:rPr>
          <w:rFonts w:ascii="Calibri" w:hAnsi="Calibri" w:cs="Calibri"/>
        </w:rPr>
        <w:t>panaikintas</w:t>
      </w:r>
      <w:r w:rsidRPr="00F277A2">
        <w:rPr>
          <w:rFonts w:ascii="Calibri" w:hAnsi="Calibri" w:cs="Calibri"/>
        </w:rPr>
        <w:t xml:space="preserve"> pareiškėjo, kaip parlamentaro, mandatas buvo savavališkas arba pareiškėjui nepakankamai nuspėjamas.</w:t>
      </w:r>
      <w:r>
        <w:rPr>
          <w:rFonts w:ascii="Calibri" w:hAnsi="Calibri" w:cs="Calibri"/>
        </w:rPr>
        <w:t xml:space="preserve"> Todėl </w:t>
      </w:r>
      <w:r w:rsidRPr="00F277A2">
        <w:rPr>
          <w:rFonts w:ascii="Calibri" w:hAnsi="Calibri" w:cs="Calibri"/>
        </w:rPr>
        <w:t xml:space="preserve">Konvencijos </w:t>
      </w:r>
      <w:r>
        <w:rPr>
          <w:rFonts w:ascii="Calibri" w:hAnsi="Calibri" w:cs="Calibri"/>
        </w:rPr>
        <w:t>P</w:t>
      </w:r>
      <w:r w:rsidRPr="00F277A2">
        <w:rPr>
          <w:rFonts w:ascii="Calibri" w:hAnsi="Calibri" w:cs="Calibri"/>
        </w:rPr>
        <w:t>rotokolo</w:t>
      </w:r>
      <w:r>
        <w:rPr>
          <w:rFonts w:ascii="Calibri" w:hAnsi="Calibri" w:cs="Calibri"/>
        </w:rPr>
        <w:t xml:space="preserve"> Nr. 1</w:t>
      </w:r>
      <w:r w:rsidRPr="00F277A2">
        <w:rPr>
          <w:rFonts w:ascii="Calibri" w:hAnsi="Calibri" w:cs="Calibri"/>
        </w:rPr>
        <w:t xml:space="preserve"> 3 straipsnis nebuvo pažeistas.</w:t>
      </w:r>
    </w:p>
    <w:p w14:paraId="7FDAE902" w14:textId="58E141EB" w:rsidR="00D11584" w:rsidRDefault="00D11584" w:rsidP="00D11584">
      <w:pPr>
        <w:spacing w:after="0" w:line="240" w:lineRule="auto"/>
        <w:ind w:right="-1" w:firstLine="567"/>
        <w:jc w:val="both"/>
        <w:rPr>
          <w:rFonts w:ascii="Calibri" w:hAnsi="Calibri" w:cs="Calibri"/>
        </w:rPr>
      </w:pPr>
      <w:r>
        <w:rPr>
          <w:rFonts w:ascii="Calibri" w:hAnsi="Calibri" w:cs="Calibri"/>
        </w:rPr>
        <w:t xml:space="preserve">Teismas pažymėjo, kad </w:t>
      </w:r>
      <w:r w:rsidRPr="00E87F0A">
        <w:rPr>
          <w:rFonts w:ascii="Calibri" w:hAnsi="Calibri" w:cs="Calibri"/>
        </w:rPr>
        <w:t>pareiškėjas nepritaikė savo elgesio prie numatytų įstatymo, ypač Konstitucijos</w:t>
      </w:r>
      <w:r w:rsidR="00AF082F">
        <w:rPr>
          <w:rFonts w:ascii="Calibri" w:hAnsi="Calibri" w:cs="Calibri"/>
        </w:rPr>
        <w:t>,</w:t>
      </w:r>
      <w:r w:rsidRPr="00E87F0A">
        <w:rPr>
          <w:rFonts w:ascii="Calibri" w:hAnsi="Calibri" w:cs="Calibri"/>
        </w:rPr>
        <w:t xml:space="preserve"> reikalavimų, dėl ko jo, kaip parlamentaro, mandatas buvo </w:t>
      </w:r>
      <w:r>
        <w:rPr>
          <w:rFonts w:ascii="Calibri" w:hAnsi="Calibri" w:cs="Calibri"/>
        </w:rPr>
        <w:t>panaikintas</w:t>
      </w:r>
      <w:r w:rsidRPr="00E87F0A">
        <w:rPr>
          <w:rFonts w:ascii="Calibri" w:hAnsi="Calibri" w:cs="Calibri"/>
        </w:rPr>
        <w:t xml:space="preserve">. Teismas jau yra nusprendęs, kad </w:t>
      </w:r>
      <w:r>
        <w:rPr>
          <w:rFonts w:ascii="Calibri" w:hAnsi="Calibri" w:cs="Calibri"/>
        </w:rPr>
        <w:t xml:space="preserve">Konvencijos </w:t>
      </w:r>
      <w:r w:rsidRPr="00E87F0A">
        <w:rPr>
          <w:rFonts w:ascii="Calibri" w:hAnsi="Calibri" w:cs="Calibri"/>
        </w:rPr>
        <w:t>8 straipsniu negalima remtis skundžiant reputacijos praradimą, kuris yra numatoma asmens veiksmų pasekmė, pavyzdžiui, nusikalstamos veikos padarymas (žr.</w:t>
      </w:r>
      <w:r>
        <w:rPr>
          <w:rFonts w:ascii="Calibri" w:hAnsi="Calibri" w:cs="Calibri"/>
        </w:rPr>
        <w:t>, pvz., 2012 m. vasario 7 d. sprendimą</w:t>
      </w:r>
      <w:r w:rsidRPr="00E87F0A">
        <w:rPr>
          <w:rFonts w:ascii="Calibri" w:hAnsi="Calibri" w:cs="Calibri"/>
        </w:rPr>
        <w:t xml:space="preserve"> </w:t>
      </w:r>
      <w:r w:rsidRPr="00E87F0A">
        <w:rPr>
          <w:rFonts w:ascii="Calibri" w:hAnsi="Calibri" w:cs="Calibri"/>
          <w:i/>
          <w:iCs/>
        </w:rPr>
        <w:t>Axel Springer AG prieš Vokietiją</w:t>
      </w:r>
      <w:r w:rsidRPr="00E87F0A">
        <w:rPr>
          <w:rFonts w:ascii="Calibri" w:hAnsi="Calibri" w:cs="Calibri"/>
        </w:rPr>
        <w:t>,</w:t>
      </w:r>
      <w:r>
        <w:rPr>
          <w:rFonts w:ascii="Calibri" w:hAnsi="Calibri" w:cs="Calibri"/>
        </w:rPr>
        <w:t xml:space="preserve"> pareiškimo</w:t>
      </w:r>
      <w:r w:rsidRPr="00E87F0A">
        <w:rPr>
          <w:rFonts w:ascii="Calibri" w:hAnsi="Calibri" w:cs="Calibri"/>
        </w:rPr>
        <w:t xml:space="preserve"> Nr. 39954/08, 8</w:t>
      </w:r>
      <w:r>
        <w:rPr>
          <w:rFonts w:ascii="Calibri" w:hAnsi="Calibri" w:cs="Calibri"/>
        </w:rPr>
        <w:t xml:space="preserve">3 punktą ir kt.). </w:t>
      </w:r>
      <w:r w:rsidRPr="00E87F0A">
        <w:rPr>
          <w:rFonts w:ascii="Calibri" w:hAnsi="Calibri" w:cs="Calibri"/>
        </w:rPr>
        <w:t>Nors pareiškėjo elgesys jokiu būdu nepri</w:t>
      </w:r>
      <w:r>
        <w:rPr>
          <w:rFonts w:ascii="Calibri" w:hAnsi="Calibri" w:cs="Calibri"/>
        </w:rPr>
        <w:t>lygo</w:t>
      </w:r>
      <w:r w:rsidRPr="00E87F0A">
        <w:rPr>
          <w:rFonts w:ascii="Calibri" w:hAnsi="Calibri" w:cs="Calibri"/>
        </w:rPr>
        <w:t xml:space="preserve"> kriminaliniam nusikaltimui, vis dėlto buvo nustatyta, kad jis pažeidė konstitucinį draudimą.</w:t>
      </w:r>
      <w:r w:rsidRPr="00197440">
        <w:t xml:space="preserve"> </w:t>
      </w:r>
      <w:r w:rsidRPr="00197440">
        <w:rPr>
          <w:rFonts w:ascii="Calibri" w:hAnsi="Calibri" w:cs="Calibri"/>
        </w:rPr>
        <w:t xml:space="preserve">Konstitucinis Teismas konstatavo, kad </w:t>
      </w:r>
      <w:r w:rsidRPr="00D61E32">
        <w:rPr>
          <w:rFonts w:ascii="Calibri" w:hAnsi="Calibri" w:cs="Calibri"/>
          <w:u w:val="single"/>
        </w:rPr>
        <w:t xml:space="preserve">pareiškėjas nesielgė rūpestingai, kad laikytųsi griežtų išrinkto parlamentaro pareigų, susijusių su interesų konflikto vengimu. Taigi </w:t>
      </w:r>
      <w:r>
        <w:rPr>
          <w:rFonts w:ascii="Calibri" w:hAnsi="Calibri" w:cs="Calibri"/>
          <w:u w:val="single"/>
        </w:rPr>
        <w:t>šio</w:t>
      </w:r>
      <w:r w:rsidRPr="00D61E32">
        <w:rPr>
          <w:rFonts w:ascii="Calibri" w:hAnsi="Calibri" w:cs="Calibri"/>
          <w:u w:val="single"/>
        </w:rPr>
        <w:t xml:space="preserve"> parlamento nario mandato panaikinimo pasekmės, susijusios su pareiškėjo teise į privatų gyvenimą, įvertintos kaip numatomos jo paties elgesio pasekmės</w:t>
      </w:r>
      <w:r w:rsidRPr="00197440">
        <w:rPr>
          <w:rFonts w:ascii="Calibri" w:hAnsi="Calibri" w:cs="Calibri"/>
        </w:rPr>
        <w:t>.</w:t>
      </w:r>
      <w:r>
        <w:rPr>
          <w:rFonts w:ascii="Calibri" w:hAnsi="Calibri" w:cs="Calibri"/>
        </w:rPr>
        <w:t xml:space="preserve"> Todėl skundas šiuo aspektu įvertintas kaip akivaizdžiai nepagrįstas ir atmestas.</w:t>
      </w:r>
    </w:p>
    <w:p w14:paraId="0C29F228" w14:textId="77777777" w:rsidR="00D11584" w:rsidRPr="00315AA8" w:rsidRDefault="00D11584" w:rsidP="00D11584">
      <w:pPr>
        <w:spacing w:after="0" w:line="240" w:lineRule="auto"/>
        <w:ind w:right="-1" w:firstLine="567"/>
        <w:jc w:val="both"/>
        <w:rPr>
          <w:rFonts w:ascii="Calibri" w:hAnsi="Calibri" w:cs="Calibri"/>
        </w:rPr>
      </w:pPr>
    </w:p>
    <w:p w14:paraId="403BA8E5" w14:textId="77777777" w:rsidR="00D11584" w:rsidRPr="00315AA8" w:rsidRDefault="00D11584" w:rsidP="00D11584">
      <w:pPr>
        <w:pStyle w:val="Betarp"/>
        <w:ind w:right="-1" w:firstLine="567"/>
        <w:jc w:val="both"/>
        <w:rPr>
          <w:rFonts w:ascii="Calibri" w:hAnsi="Calibri" w:cs="Calibri"/>
        </w:rPr>
      </w:pPr>
      <w:r w:rsidRPr="00315AA8">
        <w:rPr>
          <w:rFonts w:ascii="Calibri" w:hAnsi="Calibri" w:cs="Calibri"/>
        </w:rPr>
        <w:t>Išvada: Konvencijos Protokolo Nr. 1 3 straipsnio pažeidimas nenustatytas</w:t>
      </w:r>
      <w:r>
        <w:rPr>
          <w:rFonts w:ascii="Calibri" w:hAnsi="Calibri" w:cs="Calibri"/>
        </w:rPr>
        <w:t xml:space="preserve"> (vienbalsiai)</w:t>
      </w:r>
      <w:r w:rsidRPr="00315AA8">
        <w:rPr>
          <w:rFonts w:ascii="Calibri" w:hAnsi="Calibri" w:cs="Calibri"/>
        </w:rPr>
        <w:t>.</w:t>
      </w:r>
    </w:p>
    <w:p w14:paraId="4BCB3427" w14:textId="77777777" w:rsidR="00D11584" w:rsidRPr="00315AA8" w:rsidRDefault="00D11584" w:rsidP="00D11584">
      <w:pPr>
        <w:pStyle w:val="Betarp"/>
        <w:ind w:right="-1" w:firstLine="567"/>
        <w:jc w:val="both"/>
        <w:rPr>
          <w:rFonts w:ascii="Calibri" w:hAnsi="Calibri" w:cs="Calibri"/>
        </w:rPr>
      </w:pPr>
      <w:r w:rsidRPr="00315AA8">
        <w:rPr>
          <w:rFonts w:ascii="Calibri" w:hAnsi="Calibri" w:cs="Calibri"/>
        </w:rPr>
        <w:t>Pateiktos 2 atskirosios nuomonės.</w:t>
      </w:r>
    </w:p>
    <w:p w14:paraId="4D9CA9A3" w14:textId="77777777" w:rsidR="00D11584" w:rsidRPr="00315AA8" w:rsidRDefault="00D11584" w:rsidP="00D11584">
      <w:pPr>
        <w:pStyle w:val="Betarp"/>
        <w:ind w:right="-1" w:firstLine="567"/>
        <w:jc w:val="both"/>
        <w:rPr>
          <w:rFonts w:ascii="Calibri" w:hAnsi="Calibri" w:cs="Calibri"/>
        </w:rPr>
      </w:pPr>
      <w:hyperlink r:id="rId27" w:history="1">
        <w:r w:rsidRPr="00315AA8">
          <w:rPr>
            <w:rStyle w:val="Hipersaitas"/>
            <w:rFonts w:ascii="Calibri" w:hAnsi="Calibri" w:cs="Calibri"/>
          </w:rPr>
          <w:t>Prieiga internete</w:t>
        </w:r>
      </w:hyperlink>
    </w:p>
    <w:p w14:paraId="56DD804A" w14:textId="5635C253" w:rsidR="00164C66" w:rsidRDefault="00837CD5" w:rsidP="00A56A8E">
      <w:pPr>
        <w:spacing w:after="0" w:line="240" w:lineRule="auto"/>
        <w:ind w:right="-1"/>
        <w:jc w:val="center"/>
      </w:pPr>
      <w:r w:rsidRPr="00C170C3">
        <w:rPr>
          <w:rFonts w:cs="Arial"/>
          <w:b/>
        </w:rPr>
        <w:t>______________</w:t>
      </w:r>
    </w:p>
    <w:sectPr w:rsidR="00164C66" w:rsidSect="00837CD5">
      <w:headerReference w:type="even" r:id="rId28"/>
      <w:headerReference w:type="default" r:id="rId29"/>
      <w:footerReference w:type="even" r:id="rId30"/>
      <w:footerReference w:type="default" r:id="rId31"/>
      <w:headerReference w:type="first" r:id="rId32"/>
      <w:footerReference w:type="first" r:id="rId33"/>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4AAC4" w14:textId="77777777" w:rsidR="00C83B68" w:rsidRDefault="00C83B68" w:rsidP="00837CD5">
      <w:pPr>
        <w:spacing w:after="0" w:line="240" w:lineRule="auto"/>
      </w:pPr>
      <w:r>
        <w:separator/>
      </w:r>
    </w:p>
  </w:endnote>
  <w:endnote w:type="continuationSeparator" w:id="0">
    <w:p w14:paraId="419B9316" w14:textId="77777777" w:rsidR="00C83B68" w:rsidRDefault="00C83B68" w:rsidP="00837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FCE37" w14:textId="77777777" w:rsidR="00837CD5" w:rsidRDefault="00837CD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852252299"/>
      <w:docPartObj>
        <w:docPartGallery w:val="Page Numbers (Bottom of Page)"/>
        <w:docPartUnique/>
      </w:docPartObj>
    </w:sdtPr>
    <w:sdtContent>
      <w:sdt>
        <w:sdtPr>
          <w:rPr>
            <w:sz w:val="20"/>
            <w:szCs w:val="20"/>
          </w:rPr>
          <w:id w:val="1728636285"/>
          <w:docPartObj>
            <w:docPartGallery w:val="Page Numbers (Top of Page)"/>
            <w:docPartUnique/>
          </w:docPartObj>
        </w:sdtPr>
        <w:sdtContent>
          <w:p w14:paraId="2417B17C" w14:textId="77777777" w:rsidR="00CB5046" w:rsidRPr="00C95576" w:rsidRDefault="00000000">
            <w:pPr>
              <w:pStyle w:val="Porat"/>
              <w:jc w:val="center"/>
              <w:rPr>
                <w:sz w:val="20"/>
                <w:szCs w:val="20"/>
              </w:rPr>
            </w:pPr>
            <w:r w:rsidRPr="00C95576">
              <w:rPr>
                <w:bCs/>
                <w:sz w:val="20"/>
                <w:szCs w:val="20"/>
              </w:rPr>
              <w:fldChar w:fldCharType="begin"/>
            </w:r>
            <w:r w:rsidRPr="00C95576">
              <w:rPr>
                <w:bCs/>
                <w:sz w:val="20"/>
                <w:szCs w:val="20"/>
              </w:rPr>
              <w:instrText>PAGE</w:instrText>
            </w:r>
            <w:r w:rsidRPr="00C95576">
              <w:rPr>
                <w:bCs/>
                <w:sz w:val="20"/>
                <w:szCs w:val="20"/>
              </w:rPr>
              <w:fldChar w:fldCharType="separate"/>
            </w:r>
            <w:r>
              <w:rPr>
                <w:bCs/>
                <w:noProof/>
                <w:sz w:val="20"/>
                <w:szCs w:val="20"/>
              </w:rPr>
              <w:t>5</w:t>
            </w:r>
            <w:r w:rsidRPr="00C95576">
              <w:rPr>
                <w:bCs/>
                <w:sz w:val="20"/>
                <w:szCs w:val="20"/>
              </w:rPr>
              <w:fldChar w:fldCharType="end"/>
            </w:r>
            <w:r w:rsidRPr="00C95576">
              <w:rPr>
                <w:sz w:val="20"/>
                <w:szCs w:val="20"/>
              </w:rPr>
              <w:t xml:space="preserve"> / </w:t>
            </w:r>
            <w:r w:rsidRPr="00C95576">
              <w:rPr>
                <w:bCs/>
                <w:sz w:val="20"/>
                <w:szCs w:val="20"/>
              </w:rPr>
              <w:fldChar w:fldCharType="begin"/>
            </w:r>
            <w:r w:rsidRPr="00C95576">
              <w:rPr>
                <w:bCs/>
                <w:sz w:val="20"/>
                <w:szCs w:val="20"/>
              </w:rPr>
              <w:instrText>NUMPAGES</w:instrText>
            </w:r>
            <w:r w:rsidRPr="00C95576">
              <w:rPr>
                <w:bCs/>
                <w:sz w:val="20"/>
                <w:szCs w:val="20"/>
              </w:rPr>
              <w:fldChar w:fldCharType="separate"/>
            </w:r>
            <w:r>
              <w:rPr>
                <w:bCs/>
                <w:noProof/>
                <w:sz w:val="20"/>
                <w:szCs w:val="20"/>
              </w:rPr>
              <w:t>34</w:t>
            </w:r>
            <w:r w:rsidRPr="00C95576">
              <w:rPr>
                <w:bCs/>
                <w:sz w:val="20"/>
                <w:szCs w:val="20"/>
              </w:rPr>
              <w:fldChar w:fldCharType="end"/>
            </w:r>
          </w:p>
        </w:sdtContent>
      </w:sdt>
    </w:sdtContent>
  </w:sdt>
  <w:p w14:paraId="3C009F90" w14:textId="77777777" w:rsidR="00CB5046" w:rsidRDefault="00CB504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DD970" w14:textId="77777777" w:rsidR="00837CD5" w:rsidRDefault="00837CD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D21BB" w14:textId="77777777" w:rsidR="00C83B68" w:rsidRDefault="00C83B68" w:rsidP="00837CD5">
      <w:pPr>
        <w:spacing w:after="0" w:line="240" w:lineRule="auto"/>
      </w:pPr>
      <w:r>
        <w:separator/>
      </w:r>
    </w:p>
  </w:footnote>
  <w:footnote w:type="continuationSeparator" w:id="0">
    <w:p w14:paraId="31B6F58F" w14:textId="77777777" w:rsidR="00C83B68" w:rsidRDefault="00C83B68" w:rsidP="00837CD5">
      <w:pPr>
        <w:spacing w:after="0" w:line="240" w:lineRule="auto"/>
      </w:pPr>
      <w:r>
        <w:continuationSeparator/>
      </w:r>
    </w:p>
  </w:footnote>
  <w:footnote w:id="1">
    <w:p w14:paraId="7C74E68F" w14:textId="77777777" w:rsidR="00AC5344" w:rsidRPr="00310599" w:rsidRDefault="00AC5344" w:rsidP="00AC5344">
      <w:pPr>
        <w:pStyle w:val="Puslapioinaostekstas"/>
        <w:jc w:val="both"/>
      </w:pPr>
      <w:r w:rsidRPr="00310599">
        <w:rPr>
          <w:rStyle w:val="Puslapioinaosnuoroda"/>
        </w:rPr>
        <w:footnoteRef/>
      </w:r>
      <w:r w:rsidRPr="00310599">
        <w:t xml:space="preserve"> Pažymėtina, kad nuo 2022 m. gegužės 1 d. yra numatyta teisinio atstovavimo išlaidų kompensavimo galimybė administracinių nusižengimų bylose</w:t>
      </w:r>
      <w:r>
        <w:t>, nagrinėjamose bendrosios kompetencijos teismuose, todėl šio pobūdžio klausimų administraciniai teismai nebesprendžia.</w:t>
      </w:r>
    </w:p>
  </w:footnote>
  <w:footnote w:id="2">
    <w:p w14:paraId="7634D4DD" w14:textId="77777777" w:rsidR="00045B4F" w:rsidRPr="00FA2504" w:rsidRDefault="00045B4F" w:rsidP="00045B4F">
      <w:pPr>
        <w:pStyle w:val="Puslapioinaostekstas"/>
        <w:rPr>
          <w:lang w:val="de-DE"/>
        </w:rPr>
      </w:pPr>
      <w:r w:rsidRPr="00FA2504">
        <w:rPr>
          <w:rStyle w:val="Puslapioinaosnuoroda"/>
        </w:rPr>
        <w:footnoteRef/>
      </w:r>
      <w:r w:rsidRPr="00FA2504">
        <w:t xml:space="preserve"> </w:t>
      </w:r>
      <w:r w:rsidRPr="00FA2504">
        <w:t xml:space="preserve">2003 m. liepos 8 d. nutarimas dėl priimtinumo byloje </w:t>
      </w:r>
      <w:r w:rsidRPr="00FA2504">
        <w:rPr>
          <w:i/>
          <w:iCs/>
          <w:lang w:val="de-DE"/>
        </w:rPr>
        <w:t>Sentges prieš Nyderlandus</w:t>
      </w:r>
      <w:r w:rsidRPr="00FA2504">
        <w:rPr>
          <w:lang w:val="de-DE"/>
        </w:rPr>
        <w:t xml:space="preserve">, pareiškimo Nr. 27677/02. </w:t>
      </w:r>
    </w:p>
  </w:footnote>
  <w:footnote w:id="3">
    <w:p w14:paraId="63D71D9E" w14:textId="77777777" w:rsidR="00045B4F" w:rsidRPr="00FA2504" w:rsidRDefault="00045B4F" w:rsidP="00045B4F">
      <w:pPr>
        <w:pStyle w:val="Puslapioinaostekstas"/>
        <w:rPr>
          <w:lang w:val="de-DE"/>
        </w:rPr>
      </w:pPr>
      <w:r w:rsidRPr="00FA2504">
        <w:rPr>
          <w:rStyle w:val="Puslapioinaosnuoroda"/>
        </w:rPr>
        <w:footnoteRef/>
      </w:r>
      <w:r w:rsidRPr="00FA2504">
        <w:t xml:space="preserve"> </w:t>
      </w:r>
      <w:r w:rsidRPr="00FA2504">
        <w:t xml:space="preserve">2005 m. sausio 4 d. nutarimas dėl priimtinumo byloje </w:t>
      </w:r>
      <w:r w:rsidRPr="00FA2504">
        <w:rPr>
          <w:rStyle w:val="sa36b60a1"/>
          <w:i/>
          <w:iCs/>
        </w:rPr>
        <w:t xml:space="preserve">Pentiacova ir kiti prie Moldovą, </w:t>
      </w:r>
      <w:r w:rsidRPr="00FA2504">
        <w:rPr>
          <w:rStyle w:val="sa36b60a1"/>
        </w:rPr>
        <w:t>pareiškimo Nr. 14462/03.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958DD" w14:textId="77777777" w:rsidR="00837CD5" w:rsidRDefault="00837CD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9E20DB" w:rsidRPr="000967FF" w14:paraId="16A705F2" w14:textId="77777777" w:rsidTr="00C22527">
      <w:tc>
        <w:tcPr>
          <w:tcW w:w="7230" w:type="dxa"/>
        </w:tcPr>
        <w:p w14:paraId="38083D34" w14:textId="77777777" w:rsidR="00CB5046" w:rsidRPr="0021377E" w:rsidRDefault="00000000" w:rsidP="00C22527">
          <w:pPr>
            <w:rPr>
              <w:rFonts w:ascii="Calibri" w:hAnsi="Calibri"/>
              <w:i/>
              <w:color w:val="323E4F" w:themeColor="text2" w:themeShade="BF"/>
              <w:sz w:val="20"/>
              <w:szCs w:val="20"/>
            </w:rPr>
          </w:pPr>
          <w:r>
            <w:rPr>
              <w:rFonts w:ascii="Calibri" w:hAnsi="Calibri"/>
              <w:i/>
              <w:color w:val="323E4F" w:themeColor="text2" w:themeShade="BF"/>
              <w:sz w:val="20"/>
              <w:szCs w:val="20"/>
            </w:rPr>
            <w:t>Teismų praktikos departamentas</w:t>
          </w:r>
        </w:p>
      </w:tc>
      <w:tc>
        <w:tcPr>
          <w:tcW w:w="2409" w:type="dxa"/>
        </w:tcPr>
        <w:p w14:paraId="2F20C15E" w14:textId="7FC64E81" w:rsidR="00CB5046" w:rsidRPr="0021377E" w:rsidRDefault="00000000" w:rsidP="0037620F">
          <w:pPr>
            <w:rPr>
              <w:rFonts w:ascii="Calibri" w:hAnsi="Calibri"/>
              <w:color w:val="323E4F" w:themeColor="text2" w:themeShade="BF"/>
              <w:sz w:val="20"/>
              <w:szCs w:val="20"/>
            </w:rPr>
          </w:pPr>
          <w:r>
            <w:rPr>
              <w:rFonts w:ascii="Calibri" w:hAnsi="Calibri"/>
              <w:color w:val="323E4F" w:themeColor="text2" w:themeShade="BF"/>
              <w:sz w:val="20"/>
              <w:szCs w:val="20"/>
            </w:rPr>
            <w:t>202</w:t>
          </w:r>
          <w:r w:rsidR="00837CD5">
            <w:rPr>
              <w:rFonts w:ascii="Calibri" w:hAnsi="Calibri"/>
              <w:color w:val="323E4F" w:themeColor="text2" w:themeShade="BF"/>
              <w:sz w:val="20"/>
              <w:szCs w:val="20"/>
            </w:rPr>
            <w:t>4</w:t>
          </w:r>
          <w:r>
            <w:rPr>
              <w:rFonts w:ascii="Calibri" w:hAnsi="Calibri"/>
              <w:color w:val="323E4F" w:themeColor="text2" w:themeShade="BF"/>
              <w:sz w:val="20"/>
              <w:szCs w:val="20"/>
            </w:rPr>
            <w:t xml:space="preserve"> 0</w:t>
          </w:r>
          <w:r w:rsidR="00837CD5">
            <w:rPr>
              <w:rFonts w:ascii="Calibri" w:hAnsi="Calibri"/>
              <w:color w:val="323E4F" w:themeColor="text2" w:themeShade="BF"/>
              <w:sz w:val="20"/>
              <w:szCs w:val="20"/>
            </w:rPr>
            <w:t>1</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01–202</w:t>
          </w:r>
          <w:r w:rsidR="00837CD5">
            <w:rPr>
              <w:rFonts w:ascii="Calibri" w:hAnsi="Calibri"/>
              <w:color w:val="323E4F" w:themeColor="text2" w:themeShade="BF"/>
              <w:sz w:val="20"/>
              <w:szCs w:val="20"/>
            </w:rPr>
            <w:t>4</w:t>
          </w:r>
          <w:r>
            <w:rPr>
              <w:rFonts w:ascii="Calibri" w:hAnsi="Calibri"/>
              <w:color w:val="323E4F" w:themeColor="text2" w:themeShade="BF"/>
              <w:sz w:val="20"/>
              <w:szCs w:val="20"/>
            </w:rPr>
            <w:t xml:space="preserve"> </w:t>
          </w:r>
          <w:r w:rsidR="00837CD5">
            <w:rPr>
              <w:rFonts w:ascii="Calibri" w:hAnsi="Calibri"/>
              <w:color w:val="323E4F" w:themeColor="text2" w:themeShade="BF"/>
              <w:sz w:val="20"/>
              <w:szCs w:val="20"/>
            </w:rPr>
            <w:t>06</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w:t>
          </w:r>
          <w:r w:rsidR="00837CD5">
            <w:rPr>
              <w:rFonts w:ascii="Calibri" w:hAnsi="Calibri"/>
              <w:color w:val="323E4F" w:themeColor="text2" w:themeShade="BF"/>
              <w:sz w:val="20"/>
              <w:szCs w:val="20"/>
            </w:rPr>
            <w:t>0</w:t>
          </w:r>
        </w:p>
      </w:tc>
    </w:tr>
  </w:tbl>
  <w:p w14:paraId="209BE3BE" w14:textId="77777777" w:rsidR="00CB5046" w:rsidRDefault="00CB504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FA682" w14:textId="77777777" w:rsidR="00837CD5" w:rsidRDefault="00837CD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788"/>
    <w:multiLevelType w:val="hybridMultilevel"/>
    <w:tmpl w:val="5866C5E6"/>
    <w:lvl w:ilvl="0" w:tplc="9C56FAF0">
      <w:start w:val="1"/>
      <w:numFmt w:val="bullet"/>
      <w:lvlText w:val=""/>
      <w:lvlJc w:val="left"/>
      <w:pPr>
        <w:ind w:left="927" w:hanging="360"/>
      </w:pPr>
      <w:rPr>
        <w:rFonts w:ascii="Symbol" w:hAnsi="Symbol" w:hint="default"/>
        <w:u w:val="none"/>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41C5758"/>
    <w:multiLevelType w:val="hybridMultilevel"/>
    <w:tmpl w:val="82B85CAC"/>
    <w:lvl w:ilvl="0" w:tplc="6B6813F2">
      <w:numFmt w:val="bullet"/>
      <w:lvlText w:val="-"/>
      <w:lvlJc w:val="left"/>
      <w:pPr>
        <w:ind w:left="927" w:hanging="360"/>
      </w:pPr>
      <w:rPr>
        <w:rFonts w:ascii="Calibri" w:eastAsiaTheme="minorHAnsi"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0D9416F9"/>
    <w:multiLevelType w:val="hybridMultilevel"/>
    <w:tmpl w:val="85743A74"/>
    <w:lvl w:ilvl="0" w:tplc="57E0B8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EC2F9F"/>
    <w:multiLevelType w:val="hybridMultilevel"/>
    <w:tmpl w:val="5D586E36"/>
    <w:lvl w:ilvl="0" w:tplc="4606E9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8776D1E"/>
    <w:multiLevelType w:val="hybridMultilevel"/>
    <w:tmpl w:val="64BC1784"/>
    <w:lvl w:ilvl="0" w:tplc="72E68074">
      <w:numFmt w:val="bullet"/>
      <w:lvlText w:val=""/>
      <w:lvlJc w:val="left"/>
      <w:pPr>
        <w:ind w:left="927" w:hanging="360"/>
      </w:pPr>
      <w:rPr>
        <w:rFonts w:ascii="Symbol" w:eastAsia="Times New Roman" w:hAnsi="Symbol" w:cstheme="minorHAns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5" w15:restartNumberingAfterBreak="0">
    <w:nsid w:val="44094B15"/>
    <w:multiLevelType w:val="hybridMultilevel"/>
    <w:tmpl w:val="29A296F6"/>
    <w:lvl w:ilvl="0" w:tplc="B6D2163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4BC470AC"/>
    <w:multiLevelType w:val="hybridMultilevel"/>
    <w:tmpl w:val="B032E6D2"/>
    <w:lvl w:ilvl="0" w:tplc="FD08D81C">
      <w:start w:val="1"/>
      <w:numFmt w:val="bullet"/>
      <w:lvlText w:val="–"/>
      <w:lvlJc w:val="left"/>
      <w:pPr>
        <w:ind w:left="1287" w:hanging="360"/>
      </w:pPr>
      <w:rPr>
        <w:rFonts w:ascii="Calibri" w:hAnsi="Calibri"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 w15:restartNumberingAfterBreak="0">
    <w:nsid w:val="64501152"/>
    <w:multiLevelType w:val="hybridMultilevel"/>
    <w:tmpl w:val="178A912C"/>
    <w:lvl w:ilvl="0" w:tplc="11C62E4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731365B7"/>
    <w:multiLevelType w:val="hybridMultilevel"/>
    <w:tmpl w:val="BCCA27C8"/>
    <w:lvl w:ilvl="0" w:tplc="A9B2B0B6">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79A8624E"/>
    <w:multiLevelType w:val="hybridMultilevel"/>
    <w:tmpl w:val="0D20F00E"/>
    <w:lvl w:ilvl="0" w:tplc="2A6CEDF2">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16cid:durableId="303239818">
    <w:abstractNumId w:val="6"/>
  </w:num>
  <w:num w:numId="2" w16cid:durableId="139617635">
    <w:abstractNumId w:val="5"/>
  </w:num>
  <w:num w:numId="3" w16cid:durableId="172110098">
    <w:abstractNumId w:val="7"/>
  </w:num>
  <w:num w:numId="4" w16cid:durableId="556866701">
    <w:abstractNumId w:val="1"/>
  </w:num>
  <w:num w:numId="5" w16cid:durableId="1662346826">
    <w:abstractNumId w:val="9"/>
  </w:num>
  <w:num w:numId="6" w16cid:durableId="1704358143">
    <w:abstractNumId w:val="4"/>
  </w:num>
  <w:num w:numId="7" w16cid:durableId="1063791511">
    <w:abstractNumId w:val="2"/>
  </w:num>
  <w:num w:numId="8" w16cid:durableId="1720518002">
    <w:abstractNumId w:val="3"/>
  </w:num>
  <w:num w:numId="9" w16cid:durableId="41097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84150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CD5"/>
    <w:rsid w:val="00002872"/>
    <w:rsid w:val="00037932"/>
    <w:rsid w:val="00045B4F"/>
    <w:rsid w:val="000817B9"/>
    <w:rsid w:val="000C6EFC"/>
    <w:rsid w:val="000E5EEF"/>
    <w:rsid w:val="00105BCC"/>
    <w:rsid w:val="00137DC7"/>
    <w:rsid w:val="00164C66"/>
    <w:rsid w:val="001B27AD"/>
    <w:rsid w:val="00227A10"/>
    <w:rsid w:val="00235FAC"/>
    <w:rsid w:val="00246199"/>
    <w:rsid w:val="00270CD9"/>
    <w:rsid w:val="00275510"/>
    <w:rsid w:val="00296FC7"/>
    <w:rsid w:val="002A4A87"/>
    <w:rsid w:val="002B594F"/>
    <w:rsid w:val="002C2AF0"/>
    <w:rsid w:val="002F735E"/>
    <w:rsid w:val="00350DC6"/>
    <w:rsid w:val="00380387"/>
    <w:rsid w:val="00405DF4"/>
    <w:rsid w:val="00477B5C"/>
    <w:rsid w:val="00477DAE"/>
    <w:rsid w:val="0048517E"/>
    <w:rsid w:val="004F1686"/>
    <w:rsid w:val="005268D4"/>
    <w:rsid w:val="00531389"/>
    <w:rsid w:val="00591777"/>
    <w:rsid w:val="005A0365"/>
    <w:rsid w:val="005B2B4C"/>
    <w:rsid w:val="005C2E79"/>
    <w:rsid w:val="005D4C75"/>
    <w:rsid w:val="006140AD"/>
    <w:rsid w:val="006E3A0F"/>
    <w:rsid w:val="0079108C"/>
    <w:rsid w:val="007E1F00"/>
    <w:rsid w:val="007E595E"/>
    <w:rsid w:val="008001D9"/>
    <w:rsid w:val="008205BF"/>
    <w:rsid w:val="00837CD5"/>
    <w:rsid w:val="00863295"/>
    <w:rsid w:val="008B3BC5"/>
    <w:rsid w:val="008E5904"/>
    <w:rsid w:val="0093496B"/>
    <w:rsid w:val="00976B95"/>
    <w:rsid w:val="009E5C27"/>
    <w:rsid w:val="00A23A8D"/>
    <w:rsid w:val="00A3756E"/>
    <w:rsid w:val="00A47E32"/>
    <w:rsid w:val="00A544B5"/>
    <w:rsid w:val="00A56A8E"/>
    <w:rsid w:val="00AC5344"/>
    <w:rsid w:val="00AD6CF6"/>
    <w:rsid w:val="00AF082F"/>
    <w:rsid w:val="00B35DB1"/>
    <w:rsid w:val="00B47C4F"/>
    <w:rsid w:val="00BC359A"/>
    <w:rsid w:val="00BD7A50"/>
    <w:rsid w:val="00C122A0"/>
    <w:rsid w:val="00C83B68"/>
    <w:rsid w:val="00CB5046"/>
    <w:rsid w:val="00CE3EE7"/>
    <w:rsid w:val="00CF42F1"/>
    <w:rsid w:val="00CF4805"/>
    <w:rsid w:val="00D11584"/>
    <w:rsid w:val="00D26A39"/>
    <w:rsid w:val="00D31494"/>
    <w:rsid w:val="00D372B3"/>
    <w:rsid w:val="00D6093E"/>
    <w:rsid w:val="00E158C2"/>
    <w:rsid w:val="00E15F05"/>
    <w:rsid w:val="00EC1269"/>
    <w:rsid w:val="00EC2A13"/>
    <w:rsid w:val="00EE7BA1"/>
    <w:rsid w:val="00F9761A"/>
    <w:rsid w:val="00FA2504"/>
    <w:rsid w:val="00FB42A8"/>
    <w:rsid w:val="00FF45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AD517"/>
  <w15:chartTrackingRefBased/>
  <w15:docId w15:val="{25B7CD6A-7C50-427C-A40C-0F001F58C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37CD5"/>
    <w:pPr>
      <w:spacing w:after="200" w:line="276" w:lineRule="auto"/>
    </w:pPr>
    <w:rPr>
      <w:kern w:val="0"/>
      <w:lang w:val="lt-LT"/>
      <w14:ligatures w14:val="none"/>
    </w:rPr>
  </w:style>
  <w:style w:type="paragraph" w:styleId="Antrat1">
    <w:name w:val="heading 1"/>
    <w:basedOn w:val="prastasis"/>
    <w:next w:val="prastasis"/>
    <w:link w:val="Antrat1Diagrama"/>
    <w:qFormat/>
    <w:rsid w:val="00837CD5"/>
    <w:pPr>
      <w:keepNext/>
      <w:keepLines/>
      <w:spacing w:before="240" w:after="0" w:line="240" w:lineRule="auto"/>
      <w:jc w:val="center"/>
      <w:outlineLvl w:val="0"/>
    </w:pPr>
    <w:rPr>
      <w:rFonts w:eastAsiaTheme="majorEastAsia" w:cstheme="majorBidi"/>
      <w:b/>
      <w:color w:val="323E4F" w:themeColor="text2" w:themeShade="BF"/>
      <w:szCs w:val="32"/>
    </w:rPr>
  </w:style>
  <w:style w:type="paragraph" w:styleId="Antrat2">
    <w:name w:val="heading 2"/>
    <w:basedOn w:val="Antrat3"/>
    <w:next w:val="prastasis"/>
    <w:link w:val="Antrat2Diagrama"/>
    <w:unhideWhenUsed/>
    <w:qFormat/>
    <w:rsid w:val="00837CD5"/>
    <w:pPr>
      <w:spacing w:before="0" w:line="240" w:lineRule="auto"/>
      <w:ind w:firstLine="720"/>
      <w:jc w:val="center"/>
      <w:outlineLvl w:val="1"/>
    </w:pPr>
    <w:rPr>
      <w:rFonts w:cs="Times New Roman"/>
      <w:b/>
      <w:bCs/>
      <w:iCs/>
      <w:color w:val="2F5496" w:themeColor="accent1" w:themeShade="BF"/>
      <w:szCs w:val="22"/>
    </w:rPr>
  </w:style>
  <w:style w:type="paragraph" w:styleId="Antrat3">
    <w:name w:val="heading 3"/>
    <w:basedOn w:val="prastasis"/>
    <w:next w:val="prastasis"/>
    <w:link w:val="Antrat3Diagrama"/>
    <w:unhideWhenUsed/>
    <w:qFormat/>
    <w:rsid w:val="00837CD5"/>
    <w:pPr>
      <w:keepNext/>
      <w:keepLines/>
      <w:spacing w:before="40" w:after="0"/>
      <w:jc w:val="both"/>
      <w:outlineLvl w:val="2"/>
    </w:pPr>
    <w:rPr>
      <w:rFonts w:eastAsiaTheme="majorEastAsia" w:cstheme="majorBidi"/>
      <w:i/>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837CD5"/>
    <w:rPr>
      <w:rFonts w:eastAsiaTheme="majorEastAsia" w:cstheme="majorBidi"/>
      <w:b/>
      <w:color w:val="323E4F" w:themeColor="text2" w:themeShade="BF"/>
      <w:kern w:val="0"/>
      <w:szCs w:val="32"/>
      <w:lang w:val="lt-LT"/>
      <w14:ligatures w14:val="none"/>
    </w:rPr>
  </w:style>
  <w:style w:type="character" w:customStyle="1" w:styleId="Antrat2Diagrama">
    <w:name w:val="Antraštė 2 Diagrama"/>
    <w:basedOn w:val="Numatytasispastraiposriftas"/>
    <w:link w:val="Antrat2"/>
    <w:rsid w:val="00837CD5"/>
    <w:rPr>
      <w:rFonts w:eastAsiaTheme="majorEastAsia" w:cs="Times New Roman"/>
      <w:b/>
      <w:bCs/>
      <w:i/>
      <w:iCs/>
      <w:color w:val="2F5496" w:themeColor="accent1" w:themeShade="BF"/>
      <w:kern w:val="0"/>
      <w:lang w:val="lt-LT"/>
      <w14:ligatures w14:val="none"/>
    </w:rPr>
  </w:style>
  <w:style w:type="character" w:customStyle="1" w:styleId="Antrat3Diagrama">
    <w:name w:val="Antraštė 3 Diagrama"/>
    <w:basedOn w:val="Numatytasispastraiposriftas"/>
    <w:link w:val="Antrat3"/>
    <w:rsid w:val="00837CD5"/>
    <w:rPr>
      <w:rFonts w:eastAsiaTheme="majorEastAsia" w:cstheme="majorBidi"/>
      <w:i/>
      <w:kern w:val="0"/>
      <w:szCs w:val="24"/>
      <w:lang w:val="lt-LT"/>
      <w14:ligatures w14:val="none"/>
    </w:rPr>
  </w:style>
  <w:style w:type="character" w:styleId="Hipersaitas">
    <w:name w:val="Hyperlink"/>
    <w:basedOn w:val="Numatytasispastraiposriftas"/>
    <w:uiPriority w:val="99"/>
    <w:rsid w:val="00837CD5"/>
    <w:rPr>
      <w:color w:val="0000FF"/>
      <w:u w:val="single"/>
    </w:rPr>
  </w:style>
  <w:style w:type="paragraph" w:styleId="Antrats">
    <w:name w:val="header"/>
    <w:basedOn w:val="prastasis"/>
    <w:link w:val="AntratsDiagrama"/>
    <w:uiPriority w:val="99"/>
    <w:unhideWhenUsed/>
    <w:rsid w:val="00837CD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37CD5"/>
    <w:rPr>
      <w:kern w:val="0"/>
      <w:lang w:val="lt-LT"/>
      <w14:ligatures w14:val="none"/>
    </w:rPr>
  </w:style>
  <w:style w:type="paragraph" w:styleId="Porat">
    <w:name w:val="footer"/>
    <w:basedOn w:val="prastasis"/>
    <w:link w:val="PoratDiagrama"/>
    <w:uiPriority w:val="99"/>
    <w:unhideWhenUsed/>
    <w:rsid w:val="00837CD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37CD5"/>
    <w:rPr>
      <w:kern w:val="0"/>
      <w:lang w:val="lt-LT"/>
      <w14:ligatures w14:val="none"/>
    </w:rPr>
  </w:style>
  <w:style w:type="paragraph" w:customStyle="1" w:styleId="NoSpacing1">
    <w:name w:val="No Spacing1"/>
    <w:link w:val="NoSpacingChar"/>
    <w:uiPriority w:val="99"/>
    <w:rsid w:val="00837CD5"/>
    <w:pPr>
      <w:spacing w:after="0" w:line="240" w:lineRule="auto"/>
      <w:ind w:firstLine="720"/>
    </w:pPr>
    <w:rPr>
      <w:rFonts w:ascii="Calibri" w:eastAsia="Times New Roman" w:hAnsi="Calibri" w:cs="Times New Roman"/>
      <w:kern w:val="0"/>
      <w:lang w:val="lt-LT"/>
      <w14:ligatures w14:val="none"/>
    </w:rPr>
  </w:style>
  <w:style w:type="character" w:customStyle="1" w:styleId="NoSpacingChar">
    <w:name w:val="No Spacing Char"/>
    <w:link w:val="NoSpacing1"/>
    <w:uiPriority w:val="99"/>
    <w:locked/>
    <w:rsid w:val="00837CD5"/>
    <w:rPr>
      <w:rFonts w:ascii="Calibri" w:eastAsia="Times New Roman" w:hAnsi="Calibri" w:cs="Times New Roman"/>
      <w:kern w:val="0"/>
      <w:lang w:val="lt-LT"/>
      <w14:ligatures w14:val="none"/>
    </w:rPr>
  </w:style>
  <w:style w:type="paragraph" w:styleId="Turinioantrat">
    <w:name w:val="TOC Heading"/>
    <w:basedOn w:val="Antrat1"/>
    <w:next w:val="prastasis"/>
    <w:uiPriority w:val="39"/>
    <w:unhideWhenUsed/>
    <w:qFormat/>
    <w:rsid w:val="00837CD5"/>
    <w:pPr>
      <w:spacing w:line="259" w:lineRule="auto"/>
      <w:jc w:val="left"/>
      <w:outlineLvl w:val="9"/>
    </w:pPr>
    <w:rPr>
      <w:rFonts w:asciiTheme="majorHAnsi" w:hAnsiTheme="majorHAnsi"/>
      <w:b w:val="0"/>
      <w:bCs/>
      <w:color w:val="2E74B5"/>
      <w:sz w:val="32"/>
      <w:lang w:eastAsia="lt-LT"/>
    </w:rPr>
  </w:style>
  <w:style w:type="paragraph" w:styleId="Turinys1">
    <w:name w:val="toc 1"/>
    <w:basedOn w:val="prastasis"/>
    <w:next w:val="prastasis"/>
    <w:autoRedefine/>
    <w:uiPriority w:val="39"/>
    <w:unhideWhenUsed/>
    <w:rsid w:val="00837CD5"/>
    <w:pPr>
      <w:tabs>
        <w:tab w:val="right" w:leader="dot" w:pos="9628"/>
      </w:tabs>
      <w:spacing w:after="100"/>
    </w:pPr>
    <w:rPr>
      <w:noProof/>
      <w:color w:val="1F3864" w:themeColor="accent1" w:themeShade="80"/>
    </w:rPr>
  </w:style>
  <w:style w:type="paragraph" w:styleId="Turinys2">
    <w:name w:val="toc 2"/>
    <w:basedOn w:val="prastasis"/>
    <w:next w:val="prastasis"/>
    <w:autoRedefine/>
    <w:uiPriority w:val="39"/>
    <w:unhideWhenUsed/>
    <w:rsid w:val="00837CD5"/>
    <w:pPr>
      <w:tabs>
        <w:tab w:val="right" w:leader="dot" w:pos="9769"/>
      </w:tabs>
      <w:spacing w:after="100"/>
      <w:ind w:left="220"/>
    </w:pPr>
    <w:rPr>
      <w:rFonts w:ascii="Calibri" w:eastAsia="Times New Roman" w:hAnsi="Calibri" w:cs="Times New Roman"/>
      <w:b/>
      <w:bCs/>
      <w:i/>
      <w:iCs/>
      <w:noProof/>
    </w:rPr>
  </w:style>
  <w:style w:type="paragraph" w:styleId="Turinys3">
    <w:name w:val="toc 3"/>
    <w:basedOn w:val="prastasis"/>
    <w:next w:val="prastasis"/>
    <w:autoRedefine/>
    <w:uiPriority w:val="39"/>
    <w:unhideWhenUsed/>
    <w:rsid w:val="00837CD5"/>
    <w:pPr>
      <w:tabs>
        <w:tab w:val="right" w:leader="dot" w:pos="9769"/>
      </w:tabs>
      <w:spacing w:after="100"/>
      <w:ind w:left="440"/>
    </w:pPr>
    <w:rPr>
      <w:rFonts w:eastAsia="Calibri" w:cstheme="minorHAnsi"/>
      <w:bCs/>
      <w:i/>
      <w:iCs/>
      <w:noProof/>
    </w:rPr>
  </w:style>
  <w:style w:type="paragraph" w:customStyle="1" w:styleId="Default">
    <w:name w:val="Default"/>
    <w:rsid w:val="00837CD5"/>
    <w:pPr>
      <w:autoSpaceDE w:val="0"/>
      <w:autoSpaceDN w:val="0"/>
      <w:adjustRightInd w:val="0"/>
      <w:spacing w:after="0" w:line="240" w:lineRule="auto"/>
    </w:pPr>
    <w:rPr>
      <w:rFonts w:ascii="Times New Roman" w:eastAsia="Times New Roman" w:hAnsi="Times New Roman" w:cs="Times New Roman"/>
      <w:color w:val="000000"/>
      <w:kern w:val="0"/>
      <w:sz w:val="24"/>
      <w:szCs w:val="24"/>
      <w:lang w:val="lt-LT" w:eastAsia="lt-LT"/>
      <w14:ligatures w14:val="none"/>
    </w:rPr>
  </w:style>
  <w:style w:type="character" w:styleId="Perirtashipersaitas">
    <w:name w:val="FollowedHyperlink"/>
    <w:basedOn w:val="Numatytasispastraiposriftas"/>
    <w:uiPriority w:val="99"/>
    <w:semiHidden/>
    <w:unhideWhenUsed/>
    <w:rsid w:val="00837CD5"/>
    <w:rPr>
      <w:color w:val="954F72" w:themeColor="followedHyperlink"/>
      <w:u w:val="single"/>
    </w:rPr>
  </w:style>
  <w:style w:type="character" w:customStyle="1" w:styleId="sfbbfee58">
    <w:name w:val="sfbbfee58"/>
    <w:basedOn w:val="Numatytasispastraiposriftas"/>
    <w:rsid w:val="00837CD5"/>
  </w:style>
  <w:style w:type="paragraph" w:customStyle="1" w:styleId="s6c429373">
    <w:name w:val="s6c429373"/>
    <w:basedOn w:val="prastasis"/>
    <w:rsid w:val="00837CD5"/>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30eec3f8">
    <w:name w:val="s30eec3f8"/>
    <w:basedOn w:val="prastasis"/>
    <w:rsid w:val="00837CD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8d990e2">
    <w:name w:val="sb8d990e2"/>
    <w:basedOn w:val="Numatytasispastraiposriftas"/>
    <w:rsid w:val="00837CD5"/>
  </w:style>
  <w:style w:type="character" w:customStyle="1" w:styleId="s1a844bc0">
    <w:name w:val="s1a844bc0"/>
    <w:basedOn w:val="Numatytasispastraiposriftas"/>
    <w:rsid w:val="00837CD5"/>
  </w:style>
  <w:style w:type="paragraph" w:customStyle="1" w:styleId="s6e50bd9a">
    <w:name w:val="s6e50bd9a"/>
    <w:basedOn w:val="prastasis"/>
    <w:rsid w:val="00837CD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tlid-translation">
    <w:name w:val="tlid-translation"/>
    <w:basedOn w:val="Numatytasispastraiposriftas"/>
    <w:rsid w:val="00837CD5"/>
  </w:style>
  <w:style w:type="character" w:styleId="Komentaronuoroda">
    <w:name w:val="annotation reference"/>
    <w:basedOn w:val="Numatytasispastraiposriftas"/>
    <w:uiPriority w:val="99"/>
    <w:semiHidden/>
    <w:unhideWhenUsed/>
    <w:rsid w:val="00837CD5"/>
    <w:rPr>
      <w:sz w:val="16"/>
      <w:szCs w:val="16"/>
    </w:rPr>
  </w:style>
  <w:style w:type="paragraph" w:styleId="Komentarotekstas">
    <w:name w:val="annotation text"/>
    <w:basedOn w:val="prastasis"/>
    <w:link w:val="KomentarotekstasDiagrama"/>
    <w:uiPriority w:val="99"/>
    <w:unhideWhenUsed/>
    <w:rsid w:val="00837CD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837CD5"/>
    <w:rPr>
      <w:kern w:val="0"/>
      <w:sz w:val="20"/>
      <w:szCs w:val="20"/>
      <w:lang w:val="lt-LT"/>
      <w14:ligatures w14:val="none"/>
    </w:rPr>
  </w:style>
  <w:style w:type="paragraph" w:styleId="Komentarotema">
    <w:name w:val="annotation subject"/>
    <w:basedOn w:val="Komentarotekstas"/>
    <w:next w:val="Komentarotekstas"/>
    <w:link w:val="KomentarotemaDiagrama"/>
    <w:uiPriority w:val="99"/>
    <w:semiHidden/>
    <w:unhideWhenUsed/>
    <w:rsid w:val="00837CD5"/>
    <w:rPr>
      <w:b/>
      <w:bCs/>
    </w:rPr>
  </w:style>
  <w:style w:type="character" w:customStyle="1" w:styleId="KomentarotemaDiagrama">
    <w:name w:val="Komentaro tema Diagrama"/>
    <w:basedOn w:val="KomentarotekstasDiagrama"/>
    <w:link w:val="Komentarotema"/>
    <w:uiPriority w:val="99"/>
    <w:semiHidden/>
    <w:rsid w:val="00837CD5"/>
    <w:rPr>
      <w:b/>
      <w:bCs/>
      <w:kern w:val="0"/>
      <w:sz w:val="20"/>
      <w:szCs w:val="20"/>
      <w:lang w:val="lt-LT"/>
      <w14:ligatures w14:val="none"/>
    </w:rPr>
  </w:style>
  <w:style w:type="paragraph" w:styleId="Debesliotekstas">
    <w:name w:val="Balloon Text"/>
    <w:basedOn w:val="prastasis"/>
    <w:link w:val="DebesliotekstasDiagrama"/>
    <w:uiPriority w:val="99"/>
    <w:semiHidden/>
    <w:unhideWhenUsed/>
    <w:rsid w:val="00837CD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37CD5"/>
    <w:rPr>
      <w:rFonts w:ascii="Segoe UI" w:hAnsi="Segoe UI" w:cs="Segoe UI"/>
      <w:kern w:val="0"/>
      <w:sz w:val="18"/>
      <w:szCs w:val="18"/>
      <w:lang w:val="lt-LT"/>
      <w14:ligatures w14:val="none"/>
    </w:rPr>
  </w:style>
  <w:style w:type="paragraph" w:styleId="Puslapioinaostekstas">
    <w:name w:val="footnote text"/>
    <w:basedOn w:val="prastasis"/>
    <w:link w:val="PuslapioinaostekstasDiagrama"/>
    <w:uiPriority w:val="99"/>
    <w:unhideWhenUsed/>
    <w:rsid w:val="00837CD5"/>
    <w:pPr>
      <w:spacing w:after="0" w:line="240" w:lineRule="auto"/>
    </w:pPr>
    <w:rPr>
      <w:rFonts w:ascii="Calibri" w:eastAsia="Calibri" w:hAnsi="Calibri" w:cs="Times New Roman"/>
      <w:sz w:val="20"/>
      <w:szCs w:val="20"/>
    </w:rPr>
  </w:style>
  <w:style w:type="character" w:customStyle="1" w:styleId="PuslapioinaostekstasDiagrama">
    <w:name w:val="Puslapio išnašos tekstas Diagrama"/>
    <w:basedOn w:val="Numatytasispastraiposriftas"/>
    <w:link w:val="Puslapioinaostekstas"/>
    <w:uiPriority w:val="99"/>
    <w:rsid w:val="00837CD5"/>
    <w:rPr>
      <w:rFonts w:ascii="Calibri" w:eastAsia="Calibri" w:hAnsi="Calibri" w:cs="Times New Roman"/>
      <w:kern w:val="0"/>
      <w:sz w:val="20"/>
      <w:szCs w:val="20"/>
      <w:lang w:val="lt-LT"/>
      <w14:ligatures w14:val="none"/>
    </w:rPr>
  </w:style>
  <w:style w:type="character" w:styleId="Puslapioinaosnuoroda">
    <w:name w:val="footnote reference"/>
    <w:basedOn w:val="Numatytasispastraiposriftas"/>
    <w:uiPriority w:val="99"/>
    <w:unhideWhenUsed/>
    <w:rsid w:val="00837CD5"/>
    <w:rPr>
      <w:vertAlign w:val="superscript"/>
    </w:rPr>
  </w:style>
  <w:style w:type="character" w:customStyle="1" w:styleId="Neapdorotaspaminjimas1">
    <w:name w:val="Neapdorotas paminėjimas1"/>
    <w:basedOn w:val="Numatytasispastraiposriftas"/>
    <w:uiPriority w:val="99"/>
    <w:semiHidden/>
    <w:unhideWhenUsed/>
    <w:rsid w:val="00837CD5"/>
    <w:rPr>
      <w:color w:val="605E5C"/>
      <w:shd w:val="clear" w:color="auto" w:fill="E1DFDD"/>
    </w:rPr>
  </w:style>
  <w:style w:type="paragraph" w:styleId="Sraopastraipa">
    <w:name w:val="List Paragraph"/>
    <w:basedOn w:val="prastasis"/>
    <w:uiPriority w:val="34"/>
    <w:qFormat/>
    <w:rsid w:val="00837CD5"/>
    <w:pPr>
      <w:ind w:left="720"/>
      <w:contextualSpacing/>
    </w:pPr>
    <w:rPr>
      <w:rFonts w:ascii="Calibri" w:eastAsia="Calibri" w:hAnsi="Calibri" w:cs="Times New Roman"/>
    </w:rPr>
  </w:style>
  <w:style w:type="paragraph" w:customStyle="1" w:styleId="prastasis1">
    <w:name w:val="Įprastasis1"/>
    <w:rsid w:val="00837CD5"/>
    <w:pPr>
      <w:spacing w:line="256" w:lineRule="auto"/>
    </w:pPr>
    <w:rPr>
      <w:rFonts w:ascii="Calibri" w:eastAsia="Calibri" w:hAnsi="Calibri" w:cs="Calibri"/>
      <w:kern w:val="0"/>
      <w:lang w:val="lt-LT"/>
      <w14:ligatures w14:val="none"/>
    </w:rPr>
  </w:style>
  <w:style w:type="paragraph" w:customStyle="1" w:styleId="paragraph">
    <w:name w:val="paragraph"/>
    <w:basedOn w:val="prastasis"/>
    <w:rsid w:val="00837CD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837CD5"/>
  </w:style>
  <w:style w:type="character" w:customStyle="1" w:styleId="apple-converted-space">
    <w:name w:val="apple-converted-space"/>
    <w:basedOn w:val="Numatytasispastraiposriftas"/>
    <w:rsid w:val="00837CD5"/>
  </w:style>
  <w:style w:type="paragraph" w:styleId="prastasiniatinklio">
    <w:name w:val="Normal (Web)"/>
    <w:basedOn w:val="prastasis"/>
    <w:uiPriority w:val="99"/>
    <w:unhideWhenUsed/>
    <w:rsid w:val="00837CD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Emfaz">
    <w:name w:val="Emphasis"/>
    <w:basedOn w:val="Numatytasispastraiposriftas"/>
    <w:uiPriority w:val="20"/>
    <w:qFormat/>
    <w:rsid w:val="00837CD5"/>
    <w:rPr>
      <w:i/>
      <w:iCs/>
    </w:rPr>
  </w:style>
  <w:style w:type="character" w:customStyle="1" w:styleId="UnresolvedMention1">
    <w:name w:val="Unresolved Mention1"/>
    <w:basedOn w:val="Numatytasispastraiposriftas"/>
    <w:uiPriority w:val="99"/>
    <w:rsid w:val="00837CD5"/>
    <w:rPr>
      <w:color w:val="605E5C"/>
      <w:shd w:val="clear" w:color="auto" w:fill="E1DFDD"/>
    </w:rPr>
  </w:style>
  <w:style w:type="character" w:customStyle="1" w:styleId="s68f5eaef">
    <w:name w:val="s68f5eaef"/>
    <w:basedOn w:val="Numatytasispastraiposriftas"/>
    <w:rsid w:val="00837CD5"/>
  </w:style>
  <w:style w:type="character" w:customStyle="1" w:styleId="sbc73225d">
    <w:name w:val="sbc73225d"/>
    <w:basedOn w:val="Numatytasispastraiposriftas"/>
    <w:rsid w:val="00837CD5"/>
  </w:style>
  <w:style w:type="paragraph" w:customStyle="1" w:styleId="sc75ff09a">
    <w:name w:val="sc75ff09a"/>
    <w:basedOn w:val="prastasis"/>
    <w:rsid w:val="00837CD5"/>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Betarp">
    <w:name w:val="No Spacing"/>
    <w:uiPriority w:val="1"/>
    <w:qFormat/>
    <w:rsid w:val="00837CD5"/>
    <w:pPr>
      <w:spacing w:after="0" w:line="240" w:lineRule="auto"/>
    </w:pPr>
    <w:rPr>
      <w:kern w:val="0"/>
      <w:lang w:val="lt-LT"/>
      <w14:ligatures w14:val="none"/>
    </w:rPr>
  </w:style>
  <w:style w:type="paragraph" w:customStyle="1" w:styleId="s899b3e47">
    <w:name w:val="s899b3e47"/>
    <w:basedOn w:val="prastasis"/>
    <w:rsid w:val="00837CD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Numatytasispastraiposriftas"/>
    <w:rsid w:val="00837CD5"/>
  </w:style>
  <w:style w:type="paragraph" w:customStyle="1" w:styleId="ClinContent">
    <w:name w:val="ClinContent"/>
    <w:basedOn w:val="prastasis"/>
    <w:qFormat/>
    <w:rsid w:val="00837CD5"/>
    <w:pPr>
      <w:spacing w:before="240" w:after="0" w:line="240" w:lineRule="auto"/>
      <w:jc w:val="both"/>
    </w:pPr>
    <w:rPr>
      <w:rFonts w:ascii="Verdana" w:eastAsia="Times New Roman" w:hAnsi="Verdana" w:cs="Times New Roman"/>
      <w:sz w:val="20"/>
      <w:szCs w:val="24"/>
      <w:lang w:val="en-GB" w:eastAsia="en-GB"/>
    </w:rPr>
  </w:style>
  <w:style w:type="paragraph" w:styleId="Pataisymai">
    <w:name w:val="Revision"/>
    <w:hidden/>
    <w:uiPriority w:val="99"/>
    <w:semiHidden/>
    <w:rsid w:val="00837CD5"/>
    <w:pPr>
      <w:spacing w:after="0" w:line="240" w:lineRule="auto"/>
    </w:pPr>
    <w:rPr>
      <w:kern w:val="0"/>
      <w:lang w:val="lt-LT"/>
      <w14:ligatures w14:val="none"/>
    </w:rPr>
  </w:style>
  <w:style w:type="character" w:customStyle="1" w:styleId="UnresolvedMention2">
    <w:name w:val="Unresolved Mention2"/>
    <w:basedOn w:val="Numatytasispastraiposriftas"/>
    <w:uiPriority w:val="99"/>
    <w:semiHidden/>
    <w:unhideWhenUsed/>
    <w:rsid w:val="00837CD5"/>
    <w:rPr>
      <w:color w:val="605E5C"/>
      <w:shd w:val="clear" w:color="auto" w:fill="E1DFDD"/>
    </w:rPr>
  </w:style>
  <w:style w:type="character" w:customStyle="1" w:styleId="UnresolvedMention3">
    <w:name w:val="Unresolved Mention3"/>
    <w:basedOn w:val="Numatytasispastraiposriftas"/>
    <w:uiPriority w:val="99"/>
    <w:semiHidden/>
    <w:unhideWhenUsed/>
    <w:rsid w:val="00837CD5"/>
    <w:rPr>
      <w:color w:val="605E5C"/>
      <w:shd w:val="clear" w:color="auto" w:fill="E1DFDD"/>
    </w:rPr>
  </w:style>
  <w:style w:type="character" w:customStyle="1" w:styleId="UnresolvedMention4">
    <w:name w:val="Unresolved Mention4"/>
    <w:basedOn w:val="Numatytasispastraiposriftas"/>
    <w:uiPriority w:val="99"/>
    <w:semiHidden/>
    <w:unhideWhenUsed/>
    <w:rsid w:val="00837CD5"/>
    <w:rPr>
      <w:color w:val="605E5C"/>
      <w:shd w:val="clear" w:color="auto" w:fill="E1DFDD"/>
    </w:rPr>
  </w:style>
  <w:style w:type="character" w:styleId="Neapdorotaspaminjimas">
    <w:name w:val="Unresolved Mention"/>
    <w:basedOn w:val="Numatytasispastraiposriftas"/>
    <w:uiPriority w:val="99"/>
    <w:semiHidden/>
    <w:unhideWhenUsed/>
    <w:rsid w:val="00837CD5"/>
    <w:rPr>
      <w:color w:val="605E5C"/>
      <w:shd w:val="clear" w:color="auto" w:fill="E1DFDD"/>
    </w:rPr>
  </w:style>
  <w:style w:type="paragraph" w:customStyle="1" w:styleId="s5f48796f">
    <w:name w:val="s5f48796f"/>
    <w:basedOn w:val="prastasis"/>
    <w:rsid w:val="00837CD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b9ee52a">
    <w:name w:val="sbb9ee52a"/>
    <w:basedOn w:val="Numatytasispastraiposriftas"/>
    <w:rsid w:val="00837CD5"/>
  </w:style>
  <w:style w:type="character" w:customStyle="1" w:styleId="sa36b60a1">
    <w:name w:val="sa36b60a1"/>
    <w:basedOn w:val="Numatytasispastraiposriftas"/>
    <w:rsid w:val="00837CD5"/>
  </w:style>
  <w:style w:type="paragraph" w:customStyle="1" w:styleId="ClinFooter">
    <w:name w:val="ClinFooter"/>
    <w:basedOn w:val="ClinContent"/>
    <w:qFormat/>
    <w:rsid w:val="00837CD5"/>
    <w:pPr>
      <w:jc w:val="center"/>
    </w:pPr>
  </w:style>
  <w:style w:type="character" w:customStyle="1" w:styleId="rynqvb">
    <w:name w:val="rynqvb"/>
    <w:basedOn w:val="Numatytasispastraiposriftas"/>
    <w:rsid w:val="00837CD5"/>
  </w:style>
  <w:style w:type="character" w:customStyle="1" w:styleId="hwtze">
    <w:name w:val="hwtze"/>
    <w:basedOn w:val="Numatytasispastraiposriftas"/>
    <w:rsid w:val="00045B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153581">
      <w:bodyDiv w:val="1"/>
      <w:marLeft w:val="0"/>
      <w:marRight w:val="0"/>
      <w:marTop w:val="0"/>
      <w:marBottom w:val="0"/>
      <w:divBdr>
        <w:top w:val="none" w:sz="0" w:space="0" w:color="auto"/>
        <w:left w:val="none" w:sz="0" w:space="0" w:color="auto"/>
        <w:bottom w:val="none" w:sz="0" w:space="0" w:color="auto"/>
        <w:right w:val="none" w:sz="0" w:space="0" w:color="auto"/>
      </w:divBdr>
    </w:div>
    <w:div w:id="125928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udoc.echr.coe.int/eng" TargetMode="External"/><Relationship Id="rId18" Type="http://schemas.openxmlformats.org/officeDocument/2006/relationships/hyperlink" Target="https://hudoc.echr.coe.int/eng?i=001-231606" TargetMode="External"/><Relationship Id="rId26" Type="http://schemas.openxmlformats.org/officeDocument/2006/relationships/hyperlink" Target="https://hudoc.echr.coe.int/eng?i=001-233111" TargetMode="External"/><Relationship Id="rId3" Type="http://schemas.openxmlformats.org/officeDocument/2006/relationships/styles" Target="styles.xml"/><Relationship Id="rId21" Type="http://schemas.openxmlformats.org/officeDocument/2006/relationships/hyperlink" Target="https://hudoc.echr.coe.int/eng?i=001-23363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udoc.echr.coe.int/eng?i=001-233215" TargetMode="External"/><Relationship Id="rId17" Type="http://schemas.openxmlformats.org/officeDocument/2006/relationships/hyperlink" Target="https://hudoc.echr.coe.int/eng" TargetMode="External"/><Relationship Id="rId25" Type="http://schemas.openxmlformats.org/officeDocument/2006/relationships/hyperlink" Target="https://hudoc.echr.coe.int/eng"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i=001-230855" TargetMode="External"/><Relationship Id="rId24" Type="http://schemas.openxmlformats.org/officeDocument/2006/relationships/hyperlink" Target="https://hudoc.echr.coe.int/eng?i=001-230999"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hyperlink" Target="https://hudoc.echr.coe.int/eng?i=001-234411" TargetMode="External"/><Relationship Id="rId28" Type="http://schemas.openxmlformats.org/officeDocument/2006/relationships/header" Target="header1.xml"/><Relationship Id="rId10" Type="http://schemas.openxmlformats.org/officeDocument/2006/relationships/hyperlink" Target="https://hudoc.echr.coe.int/" TargetMode="External"/><Relationship Id="rId19" Type="http://schemas.openxmlformats.org/officeDocument/2006/relationships/hyperlink" Target="https://hudoc.echr.coe.int/eng"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file:///C:\Users\Aurimas\AppData\Local\Microsoft\Windows\Temporary%20Internet%20Files\Content.Outlook\PRDPYQIP\www.echr.coe.int" TargetMode="External"/><Relationship Id="rId14" Type="http://schemas.openxmlformats.org/officeDocument/2006/relationships/hyperlink" Target="https://hudoc.echr.coe.int/" TargetMode="External"/><Relationship Id="rId22" Type="http://schemas.openxmlformats.org/officeDocument/2006/relationships/hyperlink" Target="https://hudoc.echr.coe.int/eng" TargetMode="External"/><Relationship Id="rId27" Type="http://schemas.openxmlformats.org/officeDocument/2006/relationships/hyperlink" Target="https://hudoc.echr.coe.int/eng?i=001-234125"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9659F-CECF-4AD4-955C-5B0463F73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36</Pages>
  <Words>22535</Words>
  <Characters>128456</Characters>
  <Application>Microsoft Office Word</Application>
  <DocSecurity>0</DocSecurity>
  <Lines>1070</Lines>
  <Paragraphs>301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Jurga Marcinkevičiūtė</cp:lastModifiedBy>
  <cp:revision>4</cp:revision>
  <dcterms:created xsi:type="dcterms:W3CDTF">2025-01-27T07:14:00Z</dcterms:created>
  <dcterms:modified xsi:type="dcterms:W3CDTF">2025-01-27T11:34:00Z</dcterms:modified>
</cp:coreProperties>
</file>